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E6F" w:rsidRPr="007955A2" w:rsidRDefault="00200E6F" w:rsidP="00200E6F">
      <w:pPr>
        <w:pStyle w:val="2"/>
        <w:jc w:val="center"/>
        <w:rPr>
          <w:rFonts w:eastAsiaTheme="minorEastAsia"/>
          <w:bCs w:val="0"/>
          <w:i w:val="0"/>
          <w:iCs w:val="0"/>
          <w:sz w:val="26"/>
          <w:szCs w:val="26"/>
        </w:rPr>
      </w:pPr>
      <w:r w:rsidRPr="007955A2">
        <w:rPr>
          <w:rFonts w:eastAsiaTheme="minorEastAsia"/>
          <w:bCs w:val="0"/>
          <w:i w:val="0"/>
          <w:iCs w:val="0"/>
          <w:sz w:val="26"/>
          <w:szCs w:val="26"/>
        </w:rPr>
        <w:t>Предварительные итоги социально-экономического развития муниципального образования городское поселение город Боровск за 9  месяцев 202</w:t>
      </w:r>
      <w:r w:rsidR="00C960EF" w:rsidRPr="007955A2">
        <w:rPr>
          <w:rFonts w:eastAsiaTheme="minorEastAsia"/>
          <w:bCs w:val="0"/>
          <w:i w:val="0"/>
          <w:iCs w:val="0"/>
          <w:sz w:val="26"/>
          <w:szCs w:val="26"/>
        </w:rPr>
        <w:t>3</w:t>
      </w:r>
      <w:r w:rsidRPr="007955A2">
        <w:rPr>
          <w:rFonts w:eastAsiaTheme="minorEastAsia"/>
          <w:bCs w:val="0"/>
          <w:i w:val="0"/>
          <w:iCs w:val="0"/>
          <w:sz w:val="26"/>
          <w:szCs w:val="26"/>
        </w:rPr>
        <w:t xml:space="preserve"> года, ожидаемые итоги социально-экономического развития города за 202</w:t>
      </w:r>
      <w:r w:rsidR="00C960EF" w:rsidRPr="007955A2">
        <w:rPr>
          <w:rFonts w:eastAsiaTheme="minorEastAsia"/>
          <w:bCs w:val="0"/>
          <w:i w:val="0"/>
          <w:iCs w:val="0"/>
          <w:sz w:val="26"/>
          <w:szCs w:val="26"/>
        </w:rPr>
        <w:t>3</w:t>
      </w:r>
      <w:r w:rsidRPr="007955A2">
        <w:rPr>
          <w:rFonts w:eastAsiaTheme="minorEastAsia"/>
          <w:bCs w:val="0"/>
          <w:i w:val="0"/>
          <w:iCs w:val="0"/>
          <w:sz w:val="26"/>
          <w:szCs w:val="26"/>
        </w:rPr>
        <w:t xml:space="preserve"> год.</w:t>
      </w:r>
    </w:p>
    <w:p w:rsidR="00200E6F" w:rsidRPr="007955A2" w:rsidRDefault="00200E6F" w:rsidP="00200E6F">
      <w:pPr>
        <w:pStyle w:val="2"/>
        <w:jc w:val="center"/>
        <w:rPr>
          <w:rFonts w:eastAsiaTheme="minorEastAsia"/>
          <w:bCs w:val="0"/>
          <w:i w:val="0"/>
          <w:iCs w:val="0"/>
          <w:sz w:val="26"/>
          <w:szCs w:val="26"/>
        </w:rPr>
      </w:pPr>
      <w:r w:rsidRPr="007955A2">
        <w:rPr>
          <w:rFonts w:eastAsiaTheme="minorEastAsia"/>
          <w:bCs w:val="0"/>
          <w:i w:val="0"/>
          <w:iCs w:val="0"/>
          <w:sz w:val="26"/>
          <w:szCs w:val="26"/>
        </w:rPr>
        <w:t>Прогноз социально-экономического развития города  на 202</w:t>
      </w:r>
      <w:r w:rsidR="00C960EF" w:rsidRPr="007955A2">
        <w:rPr>
          <w:rFonts w:eastAsiaTheme="minorEastAsia"/>
          <w:bCs w:val="0"/>
          <w:i w:val="0"/>
          <w:iCs w:val="0"/>
          <w:sz w:val="26"/>
          <w:szCs w:val="26"/>
        </w:rPr>
        <w:t>4</w:t>
      </w:r>
      <w:r w:rsidR="00BE5E7E" w:rsidRPr="007955A2">
        <w:rPr>
          <w:rFonts w:eastAsiaTheme="minorEastAsia"/>
          <w:bCs w:val="0"/>
          <w:i w:val="0"/>
          <w:iCs w:val="0"/>
          <w:sz w:val="26"/>
          <w:szCs w:val="26"/>
        </w:rPr>
        <w:t xml:space="preserve"> год и на плановый период 202</w:t>
      </w:r>
      <w:r w:rsidR="00C960EF" w:rsidRPr="007955A2">
        <w:rPr>
          <w:rFonts w:eastAsiaTheme="minorEastAsia"/>
          <w:bCs w:val="0"/>
          <w:i w:val="0"/>
          <w:iCs w:val="0"/>
          <w:sz w:val="26"/>
          <w:szCs w:val="26"/>
        </w:rPr>
        <w:t>5</w:t>
      </w:r>
      <w:r w:rsidRPr="007955A2">
        <w:rPr>
          <w:rFonts w:eastAsiaTheme="minorEastAsia"/>
          <w:bCs w:val="0"/>
          <w:i w:val="0"/>
          <w:iCs w:val="0"/>
          <w:sz w:val="26"/>
          <w:szCs w:val="26"/>
        </w:rPr>
        <w:t>-202</w:t>
      </w:r>
      <w:r w:rsidR="00C960EF" w:rsidRPr="007955A2">
        <w:rPr>
          <w:rFonts w:eastAsiaTheme="minorEastAsia"/>
          <w:bCs w:val="0"/>
          <w:i w:val="0"/>
          <w:iCs w:val="0"/>
          <w:sz w:val="26"/>
          <w:szCs w:val="26"/>
        </w:rPr>
        <w:t>6</w:t>
      </w:r>
      <w:r w:rsidRPr="007955A2">
        <w:rPr>
          <w:rFonts w:eastAsiaTheme="minorEastAsia"/>
          <w:bCs w:val="0"/>
          <w:i w:val="0"/>
          <w:iCs w:val="0"/>
          <w:sz w:val="26"/>
          <w:szCs w:val="26"/>
        </w:rPr>
        <w:t xml:space="preserve"> годов</w:t>
      </w:r>
    </w:p>
    <w:p w:rsidR="00A524D0" w:rsidRDefault="00A524D0" w:rsidP="00C960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0EF" w:rsidRPr="007955A2" w:rsidRDefault="00C960EF" w:rsidP="00C960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5A2">
        <w:rPr>
          <w:rFonts w:ascii="Times New Roman" w:hAnsi="Times New Roman" w:cs="Times New Roman"/>
          <w:b/>
          <w:sz w:val="28"/>
          <w:szCs w:val="28"/>
        </w:rPr>
        <w:t>Население и занятость</w:t>
      </w:r>
    </w:p>
    <w:p w:rsidR="00C960EF" w:rsidRPr="007955A2" w:rsidRDefault="00C960EF" w:rsidP="00AD2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5A2">
        <w:rPr>
          <w:rFonts w:ascii="Times New Roman" w:hAnsi="Times New Roman" w:cs="Times New Roman"/>
          <w:sz w:val="24"/>
          <w:szCs w:val="24"/>
        </w:rPr>
        <w:t xml:space="preserve">По данным статистической отчетности численность населения города Боровска на 01.01.2023  составила 12 598 человек:  </w:t>
      </w:r>
    </w:p>
    <w:p w:rsidR="00C960EF" w:rsidRPr="007955A2" w:rsidRDefault="00C960EF" w:rsidP="00AD2AD6">
      <w:pPr>
        <w:spacing w:after="0" w:line="240" w:lineRule="auto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7955A2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- мужчин -6018 чел.,</w:t>
      </w:r>
    </w:p>
    <w:p w:rsidR="00AD2AD6" w:rsidRPr="007955A2" w:rsidRDefault="00AD2AD6" w:rsidP="00AD2AD6">
      <w:pPr>
        <w:spacing w:after="0" w:line="240" w:lineRule="auto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7955A2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- младше трудоспособного возраста-2544 чел.</w:t>
      </w:r>
    </w:p>
    <w:p w:rsidR="00AD2AD6" w:rsidRPr="007955A2" w:rsidRDefault="00AD2AD6" w:rsidP="00AD2AD6">
      <w:pPr>
        <w:spacing w:after="0" w:line="240" w:lineRule="auto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7955A2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- трудоспособного возраста – 5127 чел.</w:t>
      </w:r>
    </w:p>
    <w:p w:rsidR="00AD2AD6" w:rsidRPr="007955A2" w:rsidRDefault="00AD2AD6" w:rsidP="00AD2AD6">
      <w:pPr>
        <w:spacing w:after="0" w:line="240" w:lineRule="auto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7955A2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- старше трудоспособного возраста 2617 чел.</w:t>
      </w:r>
    </w:p>
    <w:p w:rsidR="00AD2AD6" w:rsidRPr="007955A2" w:rsidRDefault="00AD2AD6" w:rsidP="00AD2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55A2">
        <w:rPr>
          <w:rFonts w:ascii="Times New Roman" w:hAnsi="Times New Roman" w:cs="Times New Roman"/>
          <w:sz w:val="24"/>
          <w:szCs w:val="24"/>
        </w:rPr>
        <w:t>Согласно сведений</w:t>
      </w:r>
      <w:proofErr w:type="gramEnd"/>
      <w:r w:rsidRPr="007955A2">
        <w:rPr>
          <w:rFonts w:ascii="Times New Roman" w:hAnsi="Times New Roman" w:cs="Times New Roman"/>
          <w:sz w:val="24"/>
          <w:szCs w:val="24"/>
        </w:rPr>
        <w:t xml:space="preserve"> Территориального органа Федеральной службы государственной статистики по Калужской области, за 2022 год  родилось 145 младенцев. Число умерших за 2022 год составило 310 человек. Смертность по-прежнему превышает естественный прирост населения города (-165).</w:t>
      </w:r>
    </w:p>
    <w:p w:rsidR="00AD2AD6" w:rsidRPr="007955A2" w:rsidRDefault="00AD2AD6" w:rsidP="00AD2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5A2">
        <w:rPr>
          <w:rFonts w:ascii="Times New Roman" w:hAnsi="Times New Roman" w:cs="Times New Roman"/>
          <w:sz w:val="24"/>
          <w:szCs w:val="24"/>
        </w:rPr>
        <w:t xml:space="preserve">Прибыло на территорию города Боровска для проживания - 788  человек, выбыло -538 человек. Сальдо миграции (250) человек. </w:t>
      </w:r>
    </w:p>
    <w:p w:rsidR="00AD2AD6" w:rsidRPr="007955A2" w:rsidRDefault="00AD2AD6" w:rsidP="00795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5A2">
        <w:rPr>
          <w:rFonts w:ascii="Times New Roman" w:hAnsi="Times New Roman" w:cs="Times New Roman"/>
          <w:sz w:val="24"/>
          <w:szCs w:val="24"/>
        </w:rPr>
        <w:t xml:space="preserve">Общее сокращение населения города составило </w:t>
      </w:r>
      <w:proofErr w:type="gramStart"/>
      <w:r w:rsidRPr="007955A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955A2">
        <w:rPr>
          <w:rFonts w:ascii="Times New Roman" w:hAnsi="Times New Roman" w:cs="Times New Roman"/>
          <w:sz w:val="24"/>
          <w:szCs w:val="24"/>
        </w:rPr>
        <w:t>-85) человек.</w:t>
      </w:r>
    </w:p>
    <w:p w:rsidR="00AD2AD6" w:rsidRPr="00AD2AD6" w:rsidRDefault="00AD2AD6" w:rsidP="007955A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Уровень жизни</w:t>
      </w:r>
    </w:p>
    <w:tbl>
      <w:tblPr>
        <w:tblW w:w="978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220"/>
        <w:gridCol w:w="9542"/>
        <w:gridCol w:w="19"/>
      </w:tblGrid>
      <w:tr w:rsidR="00866400" w:rsidRPr="00866400" w:rsidTr="007955A2">
        <w:trPr>
          <w:gridBefore w:val="1"/>
          <w:gridAfter w:val="1"/>
          <w:wBefore w:w="220" w:type="dxa"/>
          <w:wAfter w:w="19" w:type="dxa"/>
          <w:trHeight w:val="278"/>
        </w:trPr>
        <w:tc>
          <w:tcPr>
            <w:tcW w:w="9542" w:type="dxa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</w:tcPr>
          <w:p w:rsidR="00C960EF" w:rsidRDefault="00AD2AD6" w:rsidP="00AD2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60EF" w:rsidRPr="007955A2">
              <w:rPr>
                <w:rFonts w:ascii="Times New Roman" w:hAnsi="Times New Roman" w:cs="Times New Roman"/>
                <w:sz w:val="24"/>
                <w:szCs w:val="24"/>
              </w:rPr>
              <w:t>сновным источником доходов населения города традиционно продолжает оставаться заработная плата. По отчетному году среднемесячная заработная плата в городе Боровске по полному кругу организаций за 2022 год составила 47983руб. (рост к 2021 году составляет 132,98</w:t>
            </w:r>
            <w:proofErr w:type="gramStart"/>
            <w:r w:rsidR="00C960EF"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="00C960EF"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55A2" w:rsidRPr="007955A2" w:rsidRDefault="007955A2" w:rsidP="00AD2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0EF" w:rsidRPr="007955A2" w:rsidRDefault="00C960EF" w:rsidP="00C960EF">
            <w:pPr>
              <w:jc w:val="both"/>
              <w:rPr>
                <w:rFonts w:ascii="Times New Roman" w:hAnsi="Times New Roman" w:cs="Times New Roman"/>
                <w:color w:val="632423" w:themeColor="accent2" w:themeShade="80"/>
              </w:rPr>
            </w:pPr>
            <w:r w:rsidRPr="007955A2">
              <w:rPr>
                <w:rFonts w:ascii="Times New Roman" w:hAnsi="Times New Roman" w:cs="Times New Roman"/>
                <w:color w:val="632423" w:themeColor="accent2" w:themeShade="80"/>
              </w:rPr>
              <w:t xml:space="preserve">По оценке  2023 года ожидается увеличение уровня среднемесячной заработной платы в среднем на 3% и ожидается в размере 49408 руб. Тенденция незначительного роста заработной платы (в среднем на 1,3% ежегодно) сохранится и в 2024-2026 годах (49980 </w:t>
            </w:r>
            <w:proofErr w:type="spellStart"/>
            <w:r w:rsidRPr="007955A2">
              <w:rPr>
                <w:rFonts w:ascii="Times New Roman" w:hAnsi="Times New Roman" w:cs="Times New Roman"/>
                <w:color w:val="632423" w:themeColor="accent2" w:themeShade="80"/>
              </w:rPr>
              <w:t>руб</w:t>
            </w:r>
            <w:proofErr w:type="spellEnd"/>
            <w:r w:rsidRPr="007955A2">
              <w:rPr>
                <w:rFonts w:ascii="Times New Roman" w:hAnsi="Times New Roman" w:cs="Times New Roman"/>
                <w:color w:val="632423" w:themeColor="accent2" w:themeShade="80"/>
              </w:rPr>
              <w:t>, 50950 руб., 51357руб. соответственно)</w:t>
            </w:r>
            <w:r w:rsidRPr="007955A2">
              <w:rPr>
                <w:rFonts w:ascii="Times New Roman" w:hAnsi="Times New Roman" w:cs="Times New Roman"/>
                <w:noProof/>
                <w:color w:val="632423" w:themeColor="accent2" w:themeShade="80"/>
              </w:rPr>
              <w:t xml:space="preserve"> </w:t>
            </w:r>
          </w:p>
          <w:p w:rsidR="00C93C8B" w:rsidRPr="00866400" w:rsidRDefault="007955A2" w:rsidP="00681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394">
              <w:rPr>
                <w:b/>
                <w:noProof/>
                <w:color w:val="003399"/>
                <w:sz w:val="26"/>
                <w:szCs w:val="26"/>
              </w:rPr>
              <w:drawing>
                <wp:anchor distT="0" distB="0" distL="114300" distR="114300" simplePos="0" relativeHeight="251669504" behindDoc="0" locked="0" layoutInCell="1" allowOverlap="1" wp14:anchorId="02501722" wp14:editId="559424BA">
                  <wp:simplePos x="0" y="0"/>
                  <wp:positionH relativeFrom="column">
                    <wp:posOffset>3208020</wp:posOffset>
                  </wp:positionH>
                  <wp:positionV relativeFrom="paragraph">
                    <wp:posOffset>-972820</wp:posOffset>
                  </wp:positionV>
                  <wp:extent cx="2867025" cy="1562100"/>
                  <wp:effectExtent l="0" t="0" r="0" b="0"/>
                  <wp:wrapSquare wrapText="bothSides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93C8B"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C8B" w:rsidRPr="00AD2AD6" w:rsidRDefault="007955A2" w:rsidP="00681E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Промышленность</w:t>
            </w:r>
          </w:p>
          <w:p w:rsidR="00C93C8B" w:rsidRPr="006342F5" w:rsidRDefault="007955A2" w:rsidP="00795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2F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200E6F" w:rsidRPr="006342F5">
              <w:rPr>
                <w:rFonts w:ascii="Times New Roman" w:hAnsi="Times New Roman" w:cs="Times New Roman"/>
                <w:sz w:val="24"/>
                <w:szCs w:val="24"/>
              </w:rPr>
              <w:t xml:space="preserve">крупным и средним предприятиям </w:t>
            </w:r>
            <w:r w:rsidR="00C93C8B" w:rsidRPr="006342F5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 занимают основную долю в промышленном производстве города.</w:t>
            </w:r>
            <w:r w:rsidRPr="006342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C8B" w:rsidRPr="006342F5">
              <w:rPr>
                <w:rFonts w:ascii="Times New Roman" w:hAnsi="Times New Roman" w:cs="Times New Roman"/>
                <w:sz w:val="24"/>
                <w:szCs w:val="24"/>
              </w:rPr>
              <w:t>Ведущими средними предприятиями производства и основными налогоплательщиками являются:</w:t>
            </w:r>
          </w:p>
          <w:tbl>
            <w:tblPr>
              <w:tblStyle w:val="ad"/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2226"/>
              <w:gridCol w:w="1885"/>
              <w:gridCol w:w="1559"/>
              <w:gridCol w:w="1984"/>
            </w:tblGrid>
            <w:tr w:rsidR="00866400" w:rsidRPr="00866400" w:rsidTr="007955A2">
              <w:tc>
                <w:tcPr>
                  <w:tcW w:w="1872" w:type="dxa"/>
                  <w:vAlign w:val="center"/>
                </w:tcPr>
                <w:p w:rsidR="00C93C8B" w:rsidRPr="007955A2" w:rsidRDefault="00C93C8B" w:rsidP="00681E5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5A2">
                    <w:rPr>
                      <w:rFonts w:ascii="Times New Roman" w:hAnsi="Times New Roman" w:cs="Times New Roman"/>
                    </w:rPr>
                    <w:t>ООО «</w:t>
                  </w:r>
                  <w:proofErr w:type="spellStart"/>
                  <w:r w:rsidRPr="007955A2">
                    <w:rPr>
                      <w:rFonts w:ascii="Times New Roman" w:hAnsi="Times New Roman" w:cs="Times New Roman"/>
                    </w:rPr>
                    <w:t>Лигум</w:t>
                  </w:r>
                  <w:proofErr w:type="spellEnd"/>
                  <w:r w:rsidRPr="007955A2">
                    <w:rPr>
                      <w:rFonts w:ascii="Times New Roman" w:hAnsi="Times New Roman" w:cs="Times New Roman"/>
                    </w:rPr>
                    <w:t>» (18.13)</w:t>
                  </w:r>
                </w:p>
              </w:tc>
              <w:tc>
                <w:tcPr>
                  <w:tcW w:w="2226" w:type="dxa"/>
                  <w:vAlign w:val="center"/>
                </w:tcPr>
                <w:p w:rsidR="00C93C8B" w:rsidRPr="007955A2" w:rsidRDefault="00C93C8B" w:rsidP="00681E5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5A2">
                    <w:rPr>
                      <w:rFonts w:ascii="Times New Roman" w:hAnsi="Times New Roman" w:cs="Times New Roman"/>
                    </w:rPr>
                    <w:t>Филиал АО ЦС «Звездочка» Опытный завод «Вега» (72.19.9)</w:t>
                  </w:r>
                </w:p>
              </w:tc>
              <w:tc>
                <w:tcPr>
                  <w:tcW w:w="1885" w:type="dxa"/>
                  <w:vAlign w:val="center"/>
                </w:tcPr>
                <w:p w:rsidR="00C93C8B" w:rsidRPr="007955A2" w:rsidRDefault="00C93C8B" w:rsidP="00681E5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5A2">
                    <w:rPr>
                      <w:rFonts w:ascii="Times New Roman" w:hAnsi="Times New Roman" w:cs="Times New Roman"/>
                    </w:rPr>
                    <w:t>ООО «</w:t>
                  </w:r>
                  <w:proofErr w:type="spellStart"/>
                  <w:r w:rsidRPr="007955A2">
                    <w:rPr>
                      <w:rFonts w:ascii="Times New Roman" w:hAnsi="Times New Roman" w:cs="Times New Roman"/>
                    </w:rPr>
                    <w:t>Басс</w:t>
                  </w:r>
                  <w:proofErr w:type="spellEnd"/>
                  <w:r w:rsidRPr="007955A2">
                    <w:rPr>
                      <w:rFonts w:ascii="Times New Roman" w:hAnsi="Times New Roman" w:cs="Times New Roman"/>
                    </w:rPr>
                    <w:t>» (22.23)</w:t>
                  </w:r>
                </w:p>
              </w:tc>
              <w:tc>
                <w:tcPr>
                  <w:tcW w:w="1559" w:type="dxa"/>
                  <w:tcBorders>
                    <w:right w:val="single" w:sz="4" w:space="0" w:color="auto"/>
                  </w:tcBorders>
                  <w:vAlign w:val="center"/>
                </w:tcPr>
                <w:p w:rsidR="00C93C8B" w:rsidRPr="007955A2" w:rsidRDefault="00C93C8B" w:rsidP="00681E5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5A2">
                    <w:rPr>
                      <w:rFonts w:ascii="Times New Roman" w:hAnsi="Times New Roman" w:cs="Times New Roman"/>
                    </w:rPr>
                    <w:t>АО «</w:t>
                  </w:r>
                  <w:proofErr w:type="spellStart"/>
                  <w:r w:rsidRPr="007955A2">
                    <w:rPr>
                      <w:rFonts w:ascii="Times New Roman" w:hAnsi="Times New Roman" w:cs="Times New Roman"/>
                    </w:rPr>
                    <w:t>Витасоль</w:t>
                  </w:r>
                  <w:proofErr w:type="spellEnd"/>
                  <w:r w:rsidRPr="007955A2">
                    <w:rPr>
                      <w:rFonts w:ascii="Times New Roman" w:hAnsi="Times New Roman" w:cs="Times New Roman"/>
                    </w:rPr>
                    <w:t>» (10.91.3)</w:t>
                  </w:r>
                </w:p>
                <w:p w:rsidR="00C93C8B" w:rsidRPr="007955A2" w:rsidRDefault="00C93C8B" w:rsidP="00681E5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93C8B" w:rsidRPr="007955A2" w:rsidRDefault="00C93C8B" w:rsidP="00681E5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5A2">
                    <w:rPr>
                      <w:rFonts w:ascii="Times New Roman" w:hAnsi="Times New Roman" w:cs="Times New Roman"/>
                    </w:rPr>
                    <w:t>ООО «</w:t>
                  </w:r>
                  <w:proofErr w:type="spellStart"/>
                  <w:r w:rsidRPr="007955A2">
                    <w:rPr>
                      <w:rFonts w:ascii="Times New Roman" w:hAnsi="Times New Roman" w:cs="Times New Roman"/>
                    </w:rPr>
                    <w:t>Фарм</w:t>
                  </w:r>
                  <w:proofErr w:type="spellEnd"/>
                  <w:r w:rsidRPr="007955A2">
                    <w:rPr>
                      <w:rFonts w:ascii="Times New Roman" w:hAnsi="Times New Roman" w:cs="Times New Roman"/>
                    </w:rPr>
                    <w:t>-Синтез» (21.20.1)</w:t>
                  </w:r>
                </w:p>
              </w:tc>
            </w:tr>
            <w:tr w:rsidR="00866400" w:rsidRPr="00866400" w:rsidTr="007955A2">
              <w:tc>
                <w:tcPr>
                  <w:tcW w:w="1872" w:type="dxa"/>
                </w:tcPr>
                <w:p w:rsidR="00C93C8B" w:rsidRPr="00866400" w:rsidRDefault="00C93C8B" w:rsidP="00681E5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640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41283FAC" wp14:editId="401F7576">
                        <wp:extent cx="1129153" cy="923925"/>
                        <wp:effectExtent l="0" t="0" r="0" b="0"/>
                        <wp:docPr id="21" name="Рисунок 21" descr="https://avatars.mds.yandex.net/get-altay/934739/2a0000015ffdd09bc29c1fd61db7133cb014/XXX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avatars.mds.yandex.net/get-altay/934739/2a0000015ffdd09bc29c1fd61db7133cb014/XXX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7813" cy="9310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26" w:type="dxa"/>
                </w:tcPr>
                <w:p w:rsidR="00C93C8B" w:rsidRPr="00866400" w:rsidRDefault="00C93C8B" w:rsidP="00681E5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640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11EA10C1" wp14:editId="5B916A45">
                        <wp:extent cx="1267866" cy="942975"/>
                        <wp:effectExtent l="0" t="0" r="8890" b="0"/>
                        <wp:docPr id="17" name="Рисунок 17" descr="Опытный завод «Вега» в Боровском районе получил новые перспективы развити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Опытный завод «Вега» в Боровском районе получил новые перспективы развити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7866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85" w:type="dxa"/>
                </w:tcPr>
                <w:p w:rsidR="00C93C8B" w:rsidRPr="00866400" w:rsidRDefault="00C93C8B" w:rsidP="00681E5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640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74A6AEB5" wp14:editId="39894732">
                        <wp:extent cx="1152525" cy="959094"/>
                        <wp:effectExtent l="0" t="0" r="0" b="0"/>
                        <wp:docPr id="18" name="Рисунок 18" descr="https://santrek.ru/media/userfiles/images/%D1%80%D0%B8%D1%8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santrek.ru/media/userfiles/images/%D1%80%D0%B8%D1%81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1742" cy="9667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  <w:tcBorders>
                    <w:right w:val="single" w:sz="4" w:space="0" w:color="auto"/>
                  </w:tcBorders>
                </w:tcPr>
                <w:p w:rsidR="00C93C8B" w:rsidRPr="00866400" w:rsidRDefault="00C93C8B" w:rsidP="00681E5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640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627D2327" wp14:editId="75BA6EC6">
                        <wp:extent cx="783773" cy="571500"/>
                        <wp:effectExtent l="0" t="0" r="0" b="0"/>
                        <wp:docPr id="19" name="Рисунок 19" descr="Кормовые добавки, премиксы и витамины от производителя для КРС, кур, свиней  и всех видов животных АО &quot;Витасоль&quo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Кормовые добавки, премиксы и витамины от производителя для КРС, кур, свиней  и всех видов животных АО &quot;Витасоль&quo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8370" cy="5748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3C8B" w:rsidRPr="00866400" w:rsidRDefault="00C93C8B" w:rsidP="00681E5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66400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0C389972" wp14:editId="72635319">
                        <wp:extent cx="1026560" cy="838200"/>
                        <wp:effectExtent l="0" t="0" r="0" b="0"/>
                        <wp:docPr id="20" name="Рисунок 20" descr="ЗАО «Фарм-Синтез»: курс – на инновации uMED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ЗАО «Фарм-Синтез»: курс – на инновации uMED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585" cy="8398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955A2" w:rsidRPr="007955A2" w:rsidRDefault="007955A2" w:rsidP="007955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По  оценке 2023 года объем отгруженной продукции по вышеуказанным предприятиям (по сравнению с отчетным 2022 годом – 3317,545 </w:t>
            </w:r>
            <w:proofErr w:type="spellStart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) возрастет и составит 3 426, 91 </w:t>
            </w:r>
            <w:proofErr w:type="spellStart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млн.руб</w:t>
            </w:r>
            <w:proofErr w:type="spellEnd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. (ожидаемый рост 103,3%). В 2024-2026 наблюдается также увеличение объема отгрузки: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  <w:proofErr w:type="gramStart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-в</w:t>
            </w:r>
            <w:proofErr w:type="gramEnd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 xml:space="preserve"> 2024 году – 3 705,607 </w:t>
            </w:r>
            <w:proofErr w:type="spellStart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млн.руб</w:t>
            </w:r>
            <w:proofErr w:type="spellEnd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 xml:space="preserve"> (рост на 8,1%),  </w:t>
            </w:r>
          </w:p>
          <w:p w:rsidR="007955A2" w:rsidRPr="007955A2" w:rsidRDefault="007955A2" w:rsidP="007955A2">
            <w:pPr>
              <w:spacing w:after="0" w:line="240" w:lineRule="auto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 xml:space="preserve">-в 2025 году – 3 796,398 </w:t>
            </w:r>
            <w:proofErr w:type="spellStart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млн</w:t>
            </w:r>
            <w:proofErr w:type="gramStart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.р</w:t>
            </w:r>
            <w:proofErr w:type="gramEnd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уб</w:t>
            </w:r>
            <w:proofErr w:type="spellEnd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 xml:space="preserve"> (рост на 2,5%),          </w:t>
            </w:r>
          </w:p>
          <w:p w:rsidR="007955A2" w:rsidRPr="007955A2" w:rsidRDefault="007955A2" w:rsidP="007955A2">
            <w:pPr>
              <w:jc w:val="both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 xml:space="preserve">-в 2026 году – 3 884,465 </w:t>
            </w:r>
            <w:proofErr w:type="spellStart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млн</w:t>
            </w:r>
            <w:proofErr w:type="gramStart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.р</w:t>
            </w:r>
            <w:proofErr w:type="gramEnd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уб</w:t>
            </w:r>
            <w:proofErr w:type="spellEnd"/>
            <w:r w:rsidRPr="007955A2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 xml:space="preserve"> (объем планируется увеличить на 2,3%).</w:t>
            </w:r>
          </w:p>
          <w:p w:rsidR="00C93C8B" w:rsidRPr="00866400" w:rsidRDefault="00C93C8B" w:rsidP="00795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             Объем инвестиций по данным предприятиям планируется направить на приобретение оборудования, станков, в </w:t>
            </w:r>
            <w:proofErr w:type="spellStart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>клиенические</w:t>
            </w:r>
            <w:proofErr w:type="spellEnd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исследования, развитие производственной базы.</w:t>
            </w:r>
          </w:p>
          <w:p w:rsidR="007955A2" w:rsidRDefault="007955A2" w:rsidP="00795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По полному кругу организаций в 2023 году  по оценке отгрузят товаров на сумму    4 244,390 млн. рублей, темп роста ожидается 105,1% к уровню 2022 года  (4 037,345 млн. рублей). В 2024 году прогнозируется увеличение отгрузки товаров в денежном выражении, отгрузка ожидается на уровне 4 543,206 млн. руб., что составит 107% к уровню 2023 года.   В прогнозном периоде 2025-2026 годов темп роста отгрузки товаров будет на уровне 102,6%  и 102,7% соответственно по каждому году. Увеличение объемов отгруженной продукции будет по всем видам производств. </w:t>
            </w:r>
          </w:p>
          <w:p w:rsidR="007955A2" w:rsidRPr="007955A2" w:rsidRDefault="007955A2" w:rsidP="00795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5A2" w:rsidRPr="00AD2AD6" w:rsidRDefault="007955A2" w:rsidP="007955A2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Строительство</w:t>
            </w:r>
          </w:p>
          <w:p w:rsidR="007955A2" w:rsidRDefault="002F0486" w:rsidP="007955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955A2" w:rsidRPr="007955A2">
              <w:rPr>
                <w:rFonts w:ascii="Times New Roman" w:hAnsi="Times New Roman" w:cs="Times New Roman"/>
                <w:sz w:val="24"/>
                <w:szCs w:val="24"/>
              </w:rPr>
              <w:t>Всего на территории городского поселения города Боровска по оценке 2023года функционируют 27 предприятий данной отрасли. К сожалению, на предприятиях города наблюдаются невысокие показатели объемов работ по виду деятельности «строительство». Это, прежде всего, связано с ограниченностью производственных мощностей строительных организаций города или их спецификой, что способствует привлечению к работе на территории города, в частности, для осуществления жилищного строительства, компаний из других регионов.</w:t>
            </w:r>
          </w:p>
          <w:p w:rsidR="002F0486" w:rsidRPr="007955A2" w:rsidRDefault="007955A2" w:rsidP="007955A2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486" w:rsidRPr="007955A2">
              <w:rPr>
                <w:b/>
                <w:sz w:val="28"/>
                <w:szCs w:val="28"/>
              </w:rPr>
              <w:t>Ввод жилья в эксплуатацию:</w:t>
            </w:r>
          </w:p>
          <w:p w:rsidR="002F0486" w:rsidRDefault="002F0486" w:rsidP="00795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400">
              <w:rPr>
                <w:rFonts w:ascii="Times New Roman" w:hAnsi="Times New Roman" w:cs="Times New Roman"/>
                <w:sz w:val="24"/>
                <w:szCs w:val="24"/>
              </w:rPr>
              <w:t>Стратегической целью жилищной политики является создание условий для дальнейшего повышения уровня доступности жилья для населения путем массового строительства жилья «</w:t>
            </w:r>
            <w:proofErr w:type="spellStart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>экономкласса</w:t>
            </w:r>
            <w:proofErr w:type="spellEnd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», отвечающего требованиям </w:t>
            </w:r>
            <w:proofErr w:type="spellStart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>экологичности</w:t>
            </w:r>
            <w:proofErr w:type="spellEnd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55A2" w:rsidRPr="007955A2" w:rsidRDefault="00195920" w:rsidP="00795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7955A2"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2022 год введено в эксплуатацию 6542кв.м. жилья, из них,  за счет индивидуальных застройщиков – 553 </w:t>
            </w:r>
            <w:proofErr w:type="spellStart"/>
            <w:r w:rsidR="007955A2" w:rsidRPr="007955A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7955A2" w:rsidRPr="007955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C8B" w:rsidRDefault="007955A2" w:rsidP="0019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92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По оценке 2024-2026 годов планируется ввести по 1000 </w:t>
            </w:r>
            <w:proofErr w:type="spellStart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. жилья ежегодно (за счет индивидуальных застройщиков-1000 </w:t>
            </w:r>
            <w:proofErr w:type="spellStart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195920" w:rsidRPr="00195920" w:rsidRDefault="00195920" w:rsidP="0019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6400" w:rsidRPr="00195920" w:rsidTr="00AD2AD6">
        <w:trPr>
          <w:trHeight w:val="278"/>
        </w:trPr>
        <w:tc>
          <w:tcPr>
            <w:tcW w:w="9781" w:type="dxa"/>
            <w:gridSpan w:val="3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</w:tcPr>
          <w:p w:rsidR="00F00888" w:rsidRPr="00195920" w:rsidRDefault="00195920" w:rsidP="00195920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Малое предпринимательство</w:t>
            </w:r>
          </w:p>
        </w:tc>
      </w:tr>
    </w:tbl>
    <w:p w:rsidR="00195920" w:rsidRPr="00195920" w:rsidRDefault="00F00888" w:rsidP="001959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b/>
          <w:sz w:val="28"/>
          <w:szCs w:val="28"/>
        </w:rPr>
        <w:t xml:space="preserve">   </w:t>
      </w:r>
      <w:r w:rsidR="00195920" w:rsidRPr="00195920">
        <w:rPr>
          <w:b/>
          <w:sz w:val="28"/>
          <w:szCs w:val="28"/>
        </w:rPr>
        <w:tab/>
      </w:r>
      <w:proofErr w:type="gramStart"/>
      <w:r w:rsidR="00195920" w:rsidRPr="00195920">
        <w:rPr>
          <w:rFonts w:ascii="Times New Roman" w:hAnsi="Times New Roman" w:cs="Times New Roman"/>
          <w:sz w:val="24"/>
          <w:szCs w:val="24"/>
        </w:rPr>
        <w:t>По предварительной оценке анализируемых предприятий объем отгруженной продукции субъектов малого предпринимательства в 2023 году составит 1 529,953 млн. руб., темп роста относительно уровня отчетного 2022 года (1516,880млн. руб.) ожидается на уровне 100,86%. В 2024 году прогнозируется незначительный рост отгруженной продукции к уровню 2023 года (103,47%), в денежном выражении объем отгрузки продукции составит 1582,988 млн. руб. В прогнозируемых 2025-2026 годах</w:t>
      </w:r>
      <w:proofErr w:type="gramEnd"/>
      <w:r w:rsidR="00195920" w:rsidRPr="00195920">
        <w:rPr>
          <w:rFonts w:ascii="Times New Roman" w:hAnsi="Times New Roman" w:cs="Times New Roman"/>
          <w:sz w:val="24"/>
          <w:szCs w:val="24"/>
        </w:rPr>
        <w:t xml:space="preserve"> объем отгруженной продукции в </w:t>
      </w:r>
      <w:proofErr w:type="gramStart"/>
      <w:r w:rsidR="00195920" w:rsidRPr="00195920">
        <w:rPr>
          <w:rFonts w:ascii="Times New Roman" w:hAnsi="Times New Roman" w:cs="Times New Roman"/>
          <w:sz w:val="24"/>
          <w:szCs w:val="24"/>
        </w:rPr>
        <w:t>денежном</w:t>
      </w:r>
      <w:proofErr w:type="gramEnd"/>
      <w:r w:rsidR="00195920" w:rsidRPr="001959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95920" w:rsidRPr="00195920">
        <w:rPr>
          <w:rFonts w:ascii="Times New Roman" w:hAnsi="Times New Roman" w:cs="Times New Roman"/>
          <w:sz w:val="24"/>
          <w:szCs w:val="24"/>
        </w:rPr>
        <w:t>выражении</w:t>
      </w:r>
      <w:proofErr w:type="gramEnd"/>
      <w:r w:rsidR="00195920" w:rsidRPr="00195920">
        <w:rPr>
          <w:rFonts w:ascii="Times New Roman" w:hAnsi="Times New Roman" w:cs="Times New Roman"/>
          <w:sz w:val="24"/>
          <w:szCs w:val="24"/>
        </w:rPr>
        <w:t xml:space="preserve"> увеличится до 1629,277 и 1685,834 млн. руб. соответственно, темп роста продолжит медленно расти до 102,92%, 103,47% соответственно. 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Среднесписочная численность работников, занятых на предприятиях, по оценке 2023 года, составит 2111 человек. В прогнозе до 2026 года  численность работников планируется  на уровне 2113 человек.</w:t>
      </w:r>
    </w:p>
    <w:p w:rsid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Объем выручки по малым предприятиям ожидается в 2023 году 1436,014 млн. руб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 xml:space="preserve">выше на 0,72% в фактических ценах к уровню  отчетного 2022 года – 1425,733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0888" w:rsidRPr="00866400" w:rsidRDefault="00F00888" w:rsidP="00CD6F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По видам экономической деятельности выручка распределится следующим образом:</w:t>
      </w:r>
    </w:p>
    <w:p w:rsidR="00F00888" w:rsidRPr="00866400" w:rsidRDefault="00F00888" w:rsidP="00CD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• промышленное производство –</w:t>
      </w:r>
      <w:r w:rsidR="00195920">
        <w:rPr>
          <w:rFonts w:ascii="Times New Roman" w:hAnsi="Times New Roman" w:cs="Times New Roman"/>
          <w:sz w:val="24"/>
          <w:szCs w:val="24"/>
        </w:rPr>
        <w:t>57</w:t>
      </w:r>
      <w:r w:rsidRPr="00866400">
        <w:rPr>
          <w:rFonts w:ascii="Times New Roman" w:hAnsi="Times New Roman" w:cs="Times New Roman"/>
          <w:sz w:val="24"/>
          <w:szCs w:val="24"/>
        </w:rPr>
        <w:t xml:space="preserve">%,                        </w:t>
      </w:r>
    </w:p>
    <w:p w:rsidR="00F00888" w:rsidRPr="00866400" w:rsidRDefault="00F00888" w:rsidP="00CD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• оптовая и розничная торговля, ремонт – </w:t>
      </w:r>
      <w:r w:rsidR="00195920">
        <w:rPr>
          <w:rFonts w:ascii="Times New Roman" w:hAnsi="Times New Roman" w:cs="Times New Roman"/>
          <w:sz w:val="24"/>
          <w:szCs w:val="24"/>
        </w:rPr>
        <w:t>31</w:t>
      </w:r>
      <w:r w:rsidRPr="00866400">
        <w:rPr>
          <w:rFonts w:ascii="Times New Roman" w:hAnsi="Times New Roman" w:cs="Times New Roman"/>
          <w:sz w:val="24"/>
          <w:szCs w:val="24"/>
        </w:rPr>
        <w:t>%;</w:t>
      </w:r>
    </w:p>
    <w:p w:rsidR="00F00888" w:rsidRPr="00866400" w:rsidRDefault="00F00888" w:rsidP="00CD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• транспорт и связь –</w:t>
      </w:r>
      <w:r w:rsidR="00195920">
        <w:rPr>
          <w:rFonts w:ascii="Times New Roman" w:hAnsi="Times New Roman" w:cs="Times New Roman"/>
          <w:sz w:val="24"/>
          <w:szCs w:val="24"/>
        </w:rPr>
        <w:t>9,9</w:t>
      </w:r>
      <w:r w:rsidRPr="00866400">
        <w:rPr>
          <w:rFonts w:ascii="Times New Roman" w:hAnsi="Times New Roman" w:cs="Times New Roman"/>
          <w:sz w:val="24"/>
          <w:szCs w:val="24"/>
        </w:rPr>
        <w:t>%,</w:t>
      </w:r>
    </w:p>
    <w:p w:rsidR="00F00888" w:rsidRPr="00866400" w:rsidRDefault="00F00888" w:rsidP="00CD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• прочие – </w:t>
      </w:r>
      <w:r w:rsidR="00195920">
        <w:rPr>
          <w:rFonts w:ascii="Times New Roman" w:hAnsi="Times New Roman" w:cs="Times New Roman"/>
          <w:sz w:val="24"/>
          <w:szCs w:val="24"/>
        </w:rPr>
        <w:t>2,1</w:t>
      </w:r>
      <w:r w:rsidRPr="00866400">
        <w:rPr>
          <w:rFonts w:ascii="Times New Roman" w:hAnsi="Times New Roman" w:cs="Times New Roman"/>
          <w:sz w:val="24"/>
          <w:szCs w:val="24"/>
        </w:rPr>
        <w:t>%.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Фонд начисленной заработной платы по малым предприятиям ожидается в 2023 году в размере 1495,050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>.</w:t>
      </w:r>
    </w:p>
    <w:p w:rsidR="00195920" w:rsidRDefault="00195920" w:rsidP="00BE36C0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C94ACE" w:rsidRPr="00195920" w:rsidRDefault="00195920" w:rsidP="0019592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Инвестиционная программа</w:t>
      </w:r>
    </w:p>
    <w:p w:rsidR="00195920" w:rsidRPr="00195920" w:rsidRDefault="00B53C41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ab/>
      </w:r>
      <w:r w:rsidR="00195920" w:rsidRPr="00195920">
        <w:rPr>
          <w:rFonts w:ascii="Times New Roman" w:hAnsi="Times New Roman" w:cs="Times New Roman"/>
          <w:sz w:val="24"/>
          <w:szCs w:val="24"/>
        </w:rPr>
        <w:t xml:space="preserve">Объем инвестиций в основной капитал на развитие экономики и социальной сферы за счет всех источников финансирования по полному кругу предприятий в 2022 году составил 307,480 млн. рублей. По оценке 2023 года объем инвестиций в основной капитал за счет всех источников финансирования ожидается в сумме 357,824 млн. руб. В прогнозном периоде  2024 года планируется незначительное вложение инвестиций, что составит 114,863 млн. руб., в 2025г. объем средств снизится и составит 104,353 млн. руб., снижение ожидается и в 2026 году, общий объем вложений составит 54,750 </w:t>
      </w:r>
      <w:proofErr w:type="spellStart"/>
      <w:r w:rsidR="00195920" w:rsidRPr="00195920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="00195920"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95920" w:rsidRPr="00195920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95920" w:rsidRPr="001959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По предварительной оценке 2023 года за счет бюджетных средств разных источников на реализацию программ социальной направленности планируется направить 161,292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>., из них: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-за счет средств федерального бюджета 85,720 </w:t>
      </w:r>
      <w:proofErr w:type="spell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млн</w:t>
      </w:r>
      <w:proofErr w:type="gram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</w:t>
      </w:r>
      <w:proofErr w:type="spell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. (53,15%) 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-средств областного бюджета 70,888 </w:t>
      </w:r>
      <w:proofErr w:type="spell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млн</w:t>
      </w:r>
      <w:proofErr w:type="gram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</w:t>
      </w:r>
      <w:proofErr w:type="spell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. (43,95%) 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-средств районного бюджета 4,480 </w:t>
      </w:r>
      <w:proofErr w:type="spell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млн</w:t>
      </w:r>
      <w:proofErr w:type="gram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</w:t>
      </w:r>
      <w:proofErr w:type="spell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 (2,78%)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-средств от внебюджетных источников (населения - 0,111 </w:t>
      </w:r>
      <w:proofErr w:type="spell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млн.р</w:t>
      </w:r>
      <w:proofErr w:type="spell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., организаций и </w:t>
      </w:r>
      <w:proofErr w:type="spell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инд</w:t>
      </w:r>
      <w:proofErr w:type="gram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.п</w:t>
      </w:r>
      <w:proofErr w:type="gram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редпринимателей</w:t>
      </w:r>
      <w:proofErr w:type="spell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- 0,221млн.р)  планируется направить в городской бюджет 0,332 </w:t>
      </w:r>
      <w:proofErr w:type="spellStart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млн.руб</w:t>
      </w:r>
      <w:proofErr w:type="spellEnd"/>
      <w:r w:rsidRPr="00195920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 (0,21%)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В прогнозном периоде 2024 года  бюджетных средств планируется направить  6,113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 xml:space="preserve">.-за счет средств областного бюджета. 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В прогнозном периоде 2025 года  планируется привлечь из бюджета области средства в  сумме 0,103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млн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>.</w:t>
      </w:r>
    </w:p>
    <w:p w:rsidR="00195920" w:rsidRPr="00195920" w:rsidRDefault="00195920" w:rsidP="001959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В прогнозном периоде 2026 года привлечение бюджетных средств не планируется.</w:t>
      </w:r>
    </w:p>
    <w:p w:rsidR="00742999" w:rsidRPr="00866400" w:rsidRDefault="00742999" w:rsidP="00BD43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7568" w:rsidRPr="00195920" w:rsidRDefault="003F41C8" w:rsidP="00195920">
      <w:pPr>
        <w:spacing w:after="0"/>
        <w:jc w:val="center"/>
        <w:rPr>
          <w:b/>
          <w:sz w:val="28"/>
          <w:szCs w:val="28"/>
        </w:rPr>
      </w:pPr>
      <w:r w:rsidRPr="00195920">
        <w:rPr>
          <w:b/>
          <w:sz w:val="28"/>
          <w:szCs w:val="28"/>
        </w:rPr>
        <w:t>БЮДЖЕТ</w:t>
      </w:r>
      <w:r w:rsidR="00195920">
        <w:rPr>
          <w:b/>
          <w:sz w:val="28"/>
          <w:szCs w:val="28"/>
        </w:rPr>
        <w:t xml:space="preserve"> по итогам исполнения за 9 месяцев 2023 года</w:t>
      </w:r>
      <w:r w:rsidRPr="00195920">
        <w:rPr>
          <w:b/>
          <w:sz w:val="28"/>
          <w:szCs w:val="28"/>
        </w:rPr>
        <w:t>:</w:t>
      </w:r>
    </w:p>
    <w:p w:rsidR="00195920" w:rsidRPr="00195920" w:rsidRDefault="0086640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746B" w:rsidRPr="0086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0F6C" w:rsidRPr="00195920">
        <w:rPr>
          <w:rFonts w:ascii="Times New Roman" w:hAnsi="Times New Roman" w:cs="Times New Roman"/>
          <w:sz w:val="24"/>
          <w:szCs w:val="24"/>
        </w:rPr>
        <w:t xml:space="preserve">За </w:t>
      </w:r>
      <w:r w:rsidR="00195920" w:rsidRPr="00195920">
        <w:rPr>
          <w:rFonts w:ascii="Times New Roman" w:hAnsi="Times New Roman" w:cs="Times New Roman"/>
          <w:sz w:val="24"/>
          <w:szCs w:val="24"/>
        </w:rPr>
        <w:t>отчетный период</w:t>
      </w:r>
      <w:r w:rsidR="005B0F6C" w:rsidRPr="00195920">
        <w:rPr>
          <w:rFonts w:ascii="Times New Roman" w:hAnsi="Times New Roman" w:cs="Times New Roman"/>
          <w:sz w:val="24"/>
          <w:szCs w:val="24"/>
        </w:rPr>
        <w:t xml:space="preserve"> в бюджет города </w:t>
      </w:r>
      <w:r w:rsidR="00195920" w:rsidRPr="00195920">
        <w:rPr>
          <w:rFonts w:ascii="Times New Roman" w:hAnsi="Times New Roman" w:cs="Times New Roman"/>
          <w:sz w:val="24"/>
          <w:szCs w:val="24"/>
        </w:rPr>
        <w:t>поступило доходов в сумме 264041,775 тыс. рублей</w:t>
      </w:r>
      <w:r w:rsidR="00525AED">
        <w:rPr>
          <w:rFonts w:ascii="Times New Roman" w:hAnsi="Times New Roman" w:cs="Times New Roman"/>
          <w:sz w:val="24"/>
          <w:szCs w:val="24"/>
        </w:rPr>
        <w:t xml:space="preserve"> (</w:t>
      </w:r>
      <w:r w:rsidR="00525AED" w:rsidRPr="00195920">
        <w:rPr>
          <w:rFonts w:ascii="Times New Roman" w:hAnsi="Times New Roman" w:cs="Times New Roman"/>
          <w:sz w:val="24"/>
          <w:szCs w:val="24"/>
        </w:rPr>
        <w:t>74,85% уточненного плана</w:t>
      </w:r>
      <w:r w:rsidR="00525AED">
        <w:rPr>
          <w:rFonts w:ascii="Times New Roman" w:hAnsi="Times New Roman" w:cs="Times New Roman"/>
          <w:sz w:val="24"/>
          <w:szCs w:val="24"/>
        </w:rPr>
        <w:t>)</w:t>
      </w:r>
      <w:r w:rsidR="00195920" w:rsidRPr="00195920">
        <w:rPr>
          <w:rFonts w:ascii="Times New Roman" w:hAnsi="Times New Roman" w:cs="Times New Roman"/>
          <w:sz w:val="24"/>
          <w:szCs w:val="24"/>
        </w:rPr>
        <w:t xml:space="preserve">, из них безвозмездные поступления составили 185354,682 тыс. рублей. Расходы составили 234858,268 тыс. рублей. Профицит бюджета сложился в сумме 29183,507 тыс. рублей. 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По сравнению с уровнем соответствующего периода прошлого года общий объем доходов выше на 118318,164 тыс. руб. (или на 81,19%), рост собственных доходов составил 16182,064 тыс. рублей (или на 25,89%) за счет увеличения налоговых поступлений (НДФЛ, УСНО) и 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неналоговых-доходов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 xml:space="preserve">  от продажи материальных и нематериальных активов.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Объем собственных доходов за отчетный период составил 78687,093 тыс. руб., что занимает  29,8% от общей суммы поступлений.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 Основными источниками бюджета являются: 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налог на доходы с физических лиц – 25600,558 тыс. рублей, составляет 9,7% всех доходов бюджета и 32,53% объема собственных доходов (выше уровня 2022 года на 2027,507 тыс. рублей или на 8,6%);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акцизы – 2028,163 тыс. рублей (0,8% всех доходов /2,58%-собственных);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земельный налог – 9229,483 тыс. рублей (3,5% / 11,73%), выше уровня 2022 года на 881814,06 </w:t>
      </w:r>
      <w:proofErr w:type="spell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тыс</w:t>
      </w:r>
      <w:proofErr w:type="gram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ублей</w:t>
      </w:r>
      <w:proofErr w:type="spell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или на 10,56%;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налоги на совокупный доход –23186,720 тыс. рублей (8,78% / 29,47%), выше уровня 2022 года на 2408,803 тыс. рублей или на 11,59%</w:t>
      </w:r>
      <w:proofErr w:type="gram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;</w:t>
      </w:r>
      <w:proofErr w:type="gramEnd"/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доходы от использования имущества – 2190,098 тыс. рублей (0,83% /2,78%);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доходы от продажи материальных и нематериальных активов – 14215,728 </w:t>
      </w:r>
      <w:proofErr w:type="spell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тыс</w:t>
      </w:r>
      <w:proofErr w:type="gram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ублей</w:t>
      </w:r>
      <w:proofErr w:type="spell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(5,38% / 18,07%);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прочие доходы – 959,301 тыс. рублей (0,36% /1,22%).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Безвозмездные поступления составили 185354,682 тыс. рублей или 70,2% от общей суммы поступлений, из них: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- </w:t>
      </w: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дотация на выравнивание бюджетной обеспеченности – 8881,693 тыс. рублей; 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- субсидии – 90160,389 тыс. руб.,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- прочие межбюджетные трансферты – 86312,600 </w:t>
      </w:r>
      <w:proofErr w:type="spell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тыс</w:t>
      </w:r>
      <w:proofErr w:type="gram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</w:t>
      </w:r>
      <w:proofErr w:type="spell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.,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Расходы бюджета составили 234858,268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 xml:space="preserve"> (исполнение к плану – 60,06%), выше уровня 2022 года на 97293,878 тыс. рублей  (или на 70,73 %).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lastRenderedPageBreak/>
        <w:t xml:space="preserve">Бюджетные ассигнования расходовались в соответствии с бюджетной росписью расходов и планом-графиком размещения заказов на поставку товаров, выполнение работ, оказание услуг для муниципальных нужд. 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Основные направления расходов: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общегосударственные вопросы – 29898,544 тыс. руб. или 12,79% общей суммы расходов;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национальная безопасность и правоохранительная деятельность –250,4 </w:t>
      </w:r>
      <w:proofErr w:type="spell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тыс</w:t>
      </w:r>
      <w:proofErr w:type="gram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</w:t>
      </w:r>
      <w:proofErr w:type="spell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или 0,1%;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национальная экономика – 31860,360 тыс. руб. или 13,6%;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жилищно-коммунальное хозяйство – 171033,713 </w:t>
      </w:r>
      <w:proofErr w:type="spell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тыс</w:t>
      </w:r>
      <w:proofErr w:type="gram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</w:t>
      </w:r>
      <w:proofErr w:type="spell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или 72,8% 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(из них: жилищное х-во – 74604,009тыс</w:t>
      </w:r>
      <w:proofErr w:type="gramStart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.р</w:t>
      </w:r>
      <w:proofErr w:type="gramEnd"/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уб., коммунальное х-во – 3167,026 тыс. руб., благоустройство– 93262,677 тыс. руб.) 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охрана окружающей среды - 500 тыс. руб. или 0,2%;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образование – 54,378 тыс. руб. или 0,02%;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социальная политика – 189 тыс. руб. или 0,1%;</w:t>
      </w:r>
    </w:p>
    <w:p w:rsidR="00195920" w:rsidRPr="00F54D1D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физическая культура – 0 тыс. руб.;</w:t>
      </w:r>
    </w:p>
    <w:p w:rsid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 w:rsidRPr="00F54D1D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средства массовой информации – 1071,873 тыс. руб. или 0,5%.</w:t>
      </w:r>
    </w:p>
    <w:p w:rsidR="00F54D1D" w:rsidRPr="00F54D1D" w:rsidRDefault="00F54D1D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</w:p>
    <w:p w:rsidR="00195920" w:rsidRPr="00195920" w:rsidRDefault="00195920" w:rsidP="00F54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Содержание органов местного самоуправления: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-представительный ОМС (ст. 226) – 1626,795 тыс. руб.;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-исполнительный ОМС (Глава администрации, аппарат администрации МО) – 8420,078 тыс. руб.: 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фонд оплаты труда (ст. 211) – 6586,055 тыс. руб.; 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прочие выплаты (в.р.122) – 7,293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>;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взносы по обязательному социальному страхованию (ст.213) – 1826,729 тыс. руб.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Муниципальные служащие: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Среднесписочная численность– 11 человек.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Среднемесячная заработная плата – 36182 руб.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На содержание аппарата МБУ «Торг-Быт-Сервис»  направлено из средств местного бюджета в виде субсидии на финансовое обеспечение муниципального задания на оказание муниципальных услуг (выполнение работ) – 4836,928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>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За январь - сентябрь 2023 года из резервного фонда администрации муниципального образования городское поселение город Боровск выделено 20 тыс. рублей для оказания финансовой погорельцам жилого дома №166 по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алужская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 xml:space="preserve"> (кв.№1, №2) ) по 10 тыс. рублей каждой семье.</w:t>
      </w:r>
    </w:p>
    <w:p w:rsidR="00195920" w:rsidRPr="00195920" w:rsidRDefault="00195920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Дорожный фонд муниципального образования городское поселение город Боровск сформирован за счет неиспользованного остатка прошлых лет, доходов от уплаты акцизов, средств Дорожного фонда Калужской области в общей сумме 18449,291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 xml:space="preserve">., фактические расходы Фонда составили 4299,167 тыс. руб. </w:t>
      </w:r>
    </w:p>
    <w:p w:rsidR="00DF2F5B" w:rsidRPr="00F54D1D" w:rsidRDefault="00DF2F5B" w:rsidP="00F54D1D">
      <w:pPr>
        <w:spacing w:after="0" w:line="240" w:lineRule="auto"/>
        <w:ind w:firstLine="708"/>
        <w:jc w:val="center"/>
        <w:rPr>
          <w:b/>
          <w:sz w:val="28"/>
          <w:szCs w:val="28"/>
        </w:rPr>
      </w:pPr>
      <w:r w:rsidRPr="00F54D1D">
        <w:rPr>
          <w:b/>
          <w:sz w:val="28"/>
          <w:szCs w:val="28"/>
        </w:rPr>
        <w:t>Жилищно-коммунальное хозяйство:</w:t>
      </w:r>
    </w:p>
    <w:p w:rsidR="00DF2F5B" w:rsidRPr="00195920" w:rsidRDefault="00DF2F5B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городское поселение город Боровск  по состоянию на 1 </w:t>
      </w:r>
      <w:r w:rsidR="00444ECA" w:rsidRPr="00195920">
        <w:rPr>
          <w:rFonts w:ascii="Times New Roman" w:hAnsi="Times New Roman" w:cs="Times New Roman"/>
          <w:sz w:val="24"/>
          <w:szCs w:val="24"/>
        </w:rPr>
        <w:t>сентября</w:t>
      </w:r>
      <w:r w:rsidRPr="00195920">
        <w:rPr>
          <w:rFonts w:ascii="Times New Roman" w:hAnsi="Times New Roman" w:cs="Times New Roman"/>
          <w:sz w:val="24"/>
          <w:szCs w:val="24"/>
        </w:rPr>
        <w:t xml:space="preserve"> 20</w:t>
      </w:r>
      <w:r w:rsidR="00EC746B" w:rsidRPr="00195920">
        <w:rPr>
          <w:rFonts w:ascii="Times New Roman" w:hAnsi="Times New Roman" w:cs="Times New Roman"/>
          <w:sz w:val="24"/>
          <w:szCs w:val="24"/>
        </w:rPr>
        <w:t>2</w:t>
      </w:r>
      <w:r w:rsidR="00F54D1D">
        <w:rPr>
          <w:rFonts w:ascii="Times New Roman" w:hAnsi="Times New Roman" w:cs="Times New Roman"/>
          <w:sz w:val="24"/>
          <w:szCs w:val="24"/>
        </w:rPr>
        <w:t>3</w:t>
      </w:r>
      <w:r w:rsidRPr="00195920">
        <w:rPr>
          <w:rFonts w:ascii="Times New Roman" w:hAnsi="Times New Roman" w:cs="Times New Roman"/>
          <w:sz w:val="24"/>
          <w:szCs w:val="24"/>
        </w:rPr>
        <w:t xml:space="preserve"> года площадь неприватизированного жилья составила </w:t>
      </w:r>
      <w:r w:rsidR="00444ECA" w:rsidRPr="00195920">
        <w:rPr>
          <w:rFonts w:ascii="Times New Roman" w:hAnsi="Times New Roman" w:cs="Times New Roman"/>
          <w:sz w:val="24"/>
          <w:szCs w:val="24"/>
        </w:rPr>
        <w:t>9</w:t>
      </w:r>
      <w:r w:rsidR="005B0F6C" w:rsidRPr="00195920">
        <w:rPr>
          <w:rFonts w:ascii="Times New Roman" w:hAnsi="Times New Roman" w:cs="Times New Roman"/>
          <w:sz w:val="24"/>
          <w:szCs w:val="24"/>
        </w:rPr>
        <w:t>429</w:t>
      </w:r>
      <w:r w:rsidR="00F54D1D">
        <w:rPr>
          <w:rFonts w:ascii="Times New Roman" w:hAnsi="Times New Roman" w:cs="Times New Roman"/>
          <w:sz w:val="24"/>
          <w:szCs w:val="24"/>
        </w:rPr>
        <w:t>,5</w:t>
      </w:r>
      <w:r w:rsidRPr="00195920"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.</w:t>
      </w:r>
    </w:p>
    <w:p w:rsidR="00DF2F5B" w:rsidRPr="00195920" w:rsidRDefault="00444ECA" w:rsidP="00DF2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По</w:t>
      </w:r>
      <w:r w:rsidR="00DF2F5B" w:rsidRPr="00195920">
        <w:rPr>
          <w:rFonts w:ascii="Times New Roman" w:hAnsi="Times New Roman" w:cs="Times New Roman"/>
          <w:sz w:val="24"/>
          <w:szCs w:val="24"/>
        </w:rPr>
        <w:t>-прежнему в городе работают две управляющие организации по управлению многоквартирными домами. На обслуживании в управляющей организац</w:t>
      </w:r>
      <w:proofErr w:type="gramStart"/>
      <w:r w:rsidR="00DF2F5B" w:rsidRPr="00195920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="00DF2F5B" w:rsidRPr="00195920">
        <w:rPr>
          <w:rFonts w:ascii="Times New Roman" w:hAnsi="Times New Roman" w:cs="Times New Roman"/>
          <w:sz w:val="24"/>
          <w:szCs w:val="24"/>
        </w:rPr>
        <w:t xml:space="preserve"> «УК «Строй-</w:t>
      </w:r>
      <w:proofErr w:type="spellStart"/>
      <w:r w:rsidR="00DF2F5B" w:rsidRPr="00195920">
        <w:rPr>
          <w:rFonts w:ascii="Times New Roman" w:hAnsi="Times New Roman" w:cs="Times New Roman"/>
          <w:sz w:val="24"/>
          <w:szCs w:val="24"/>
        </w:rPr>
        <w:t>Белан</w:t>
      </w:r>
      <w:proofErr w:type="spellEnd"/>
      <w:r w:rsidR="00DF2F5B" w:rsidRPr="00195920">
        <w:rPr>
          <w:rFonts w:ascii="Times New Roman" w:hAnsi="Times New Roman" w:cs="Times New Roman"/>
          <w:sz w:val="24"/>
          <w:szCs w:val="24"/>
        </w:rPr>
        <w:t xml:space="preserve">» находятся 207 домов. </w:t>
      </w:r>
    </w:p>
    <w:p w:rsidR="00DF2F5B" w:rsidRPr="00195920" w:rsidRDefault="00DF2F5B" w:rsidP="00DF2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64 многоквартирных домов находится в управлении товарищества собственников жилья. </w:t>
      </w:r>
    </w:p>
    <w:p w:rsidR="00DF2F5B" w:rsidRPr="00195920" w:rsidRDefault="00DF2F5B" w:rsidP="00DF2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В непосредственном управлении находится 111 жилых домов. На обслуживании управляющей компании ООО «УК «Ермак» находится 1 многоквартирный дом по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ябенко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>, д.11А.</w:t>
      </w:r>
    </w:p>
    <w:p w:rsidR="00DF2F5B" w:rsidRPr="0019592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В соответствии с законом Калужской области от 20 июня 2013 года № 851 «Об организации проведения капитального ремонта общего имущества в многоквартирных домах, расположенных на территории Калужской области»  производятся расходы по уплате взносов на капитальный ремонт муниципального имущества многоквартирных домов. Размер взноса в 202</w:t>
      </w:r>
      <w:r w:rsidR="00F54D1D">
        <w:rPr>
          <w:rFonts w:ascii="Times New Roman" w:hAnsi="Times New Roman" w:cs="Times New Roman"/>
          <w:sz w:val="24"/>
          <w:szCs w:val="24"/>
        </w:rPr>
        <w:t>4</w:t>
      </w:r>
      <w:r w:rsidR="003E41CD" w:rsidRPr="00195920">
        <w:rPr>
          <w:rFonts w:ascii="Times New Roman" w:hAnsi="Times New Roman" w:cs="Times New Roman"/>
          <w:sz w:val="24"/>
          <w:szCs w:val="24"/>
        </w:rPr>
        <w:t xml:space="preserve"> году ожидается в размере </w:t>
      </w:r>
      <w:r w:rsidR="00F54D1D">
        <w:rPr>
          <w:rFonts w:ascii="Times New Roman" w:hAnsi="Times New Roman" w:cs="Times New Roman"/>
          <w:sz w:val="24"/>
          <w:szCs w:val="24"/>
        </w:rPr>
        <w:t>10,47</w:t>
      </w:r>
      <w:r w:rsidRPr="00195920">
        <w:rPr>
          <w:rFonts w:ascii="Times New Roman" w:hAnsi="Times New Roman" w:cs="Times New Roman"/>
          <w:sz w:val="24"/>
          <w:szCs w:val="24"/>
        </w:rPr>
        <w:t xml:space="preserve"> руб. за 1 м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F2F5B" w:rsidRPr="00866400" w:rsidRDefault="00DF2F5B" w:rsidP="00DF2F5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F2F5B" w:rsidRPr="005F03C9" w:rsidRDefault="00DF2F5B" w:rsidP="00DF2F5B">
      <w:pPr>
        <w:spacing w:after="0" w:line="240" w:lineRule="auto"/>
        <w:jc w:val="center"/>
        <w:rPr>
          <w:b/>
          <w:sz w:val="28"/>
          <w:szCs w:val="28"/>
        </w:rPr>
      </w:pPr>
      <w:r w:rsidRPr="005F03C9">
        <w:rPr>
          <w:b/>
          <w:sz w:val="28"/>
          <w:szCs w:val="28"/>
        </w:rPr>
        <w:lastRenderedPageBreak/>
        <w:t>Благоустройство</w:t>
      </w:r>
    </w:p>
    <w:p w:rsidR="00DF2F5B" w:rsidRPr="00866400" w:rsidRDefault="00DF2F5B" w:rsidP="00DF2F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Предварительные итоги социально-экономического развития муниципального образования в части текущего благоустройства связаны с выполнением мероприятий, запланированных на 20</w:t>
      </w:r>
      <w:r w:rsidR="00EC746B" w:rsidRPr="00866400">
        <w:rPr>
          <w:rFonts w:ascii="Times New Roman" w:hAnsi="Times New Roman" w:cs="Times New Roman"/>
          <w:sz w:val="24"/>
          <w:szCs w:val="24"/>
        </w:rPr>
        <w:t>2</w:t>
      </w:r>
      <w:r w:rsidR="005E0E1B" w:rsidRPr="00866400">
        <w:rPr>
          <w:rFonts w:ascii="Times New Roman" w:hAnsi="Times New Roman" w:cs="Times New Roman"/>
          <w:sz w:val="24"/>
          <w:szCs w:val="24"/>
        </w:rPr>
        <w:t>1</w:t>
      </w:r>
      <w:r w:rsidRPr="00866400">
        <w:rPr>
          <w:rFonts w:ascii="Times New Roman" w:hAnsi="Times New Roman" w:cs="Times New Roman"/>
          <w:sz w:val="24"/>
          <w:szCs w:val="24"/>
        </w:rPr>
        <w:t xml:space="preserve"> год (с учетом их ресурсного обеспечения) в  муниципальной программе «Благоустройство  территории города Боровска» для решения поставленных  задач с целью достижения установленных на текущий финансовый год показателей программы.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Для достижения поставленной цели – «Обеспечение здоровых, безопасных и комфортных условий проживания граждан на территории муниципального образования» ресурсное обеспечение основных мероприятий программы на 20</w:t>
      </w:r>
      <w:r w:rsidR="00EC746B" w:rsidRPr="00866400">
        <w:rPr>
          <w:rFonts w:ascii="Times New Roman" w:hAnsi="Times New Roman" w:cs="Times New Roman"/>
          <w:sz w:val="24"/>
          <w:szCs w:val="24"/>
        </w:rPr>
        <w:t>2</w:t>
      </w:r>
      <w:r w:rsidR="00F54D1D">
        <w:rPr>
          <w:rFonts w:ascii="Times New Roman" w:hAnsi="Times New Roman" w:cs="Times New Roman"/>
          <w:sz w:val="24"/>
          <w:szCs w:val="24"/>
        </w:rPr>
        <w:t>3</w:t>
      </w:r>
      <w:r w:rsidRPr="00866400">
        <w:rPr>
          <w:rFonts w:ascii="Times New Roman" w:hAnsi="Times New Roman" w:cs="Times New Roman"/>
          <w:sz w:val="24"/>
          <w:szCs w:val="24"/>
        </w:rPr>
        <w:t xml:space="preserve"> год составляет          </w:t>
      </w:r>
      <w:r w:rsidR="00F54D1D">
        <w:rPr>
          <w:rFonts w:ascii="Times New Roman" w:hAnsi="Times New Roman" w:cs="Times New Roman"/>
          <w:sz w:val="24"/>
          <w:szCs w:val="24"/>
        </w:rPr>
        <w:t>132120,024</w:t>
      </w:r>
      <w:r w:rsidRPr="00866400">
        <w:rPr>
          <w:rFonts w:ascii="Times New Roman" w:hAnsi="Times New Roman" w:cs="Times New Roman"/>
          <w:sz w:val="24"/>
          <w:szCs w:val="24"/>
        </w:rPr>
        <w:t> тыс. рублей, в том числе по мероприятиям: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1. Организация уличного освещения – </w:t>
      </w:r>
      <w:r w:rsidR="00F54D1D">
        <w:rPr>
          <w:rFonts w:ascii="Times New Roman" w:hAnsi="Times New Roman" w:cs="Times New Roman"/>
          <w:sz w:val="24"/>
          <w:szCs w:val="24"/>
        </w:rPr>
        <w:t>7375,509</w:t>
      </w:r>
      <w:r w:rsidRPr="00866400">
        <w:rPr>
          <w:rFonts w:ascii="Times New Roman" w:hAnsi="Times New Roman" w:cs="Times New Roman"/>
          <w:sz w:val="24"/>
          <w:szCs w:val="24"/>
        </w:rPr>
        <w:t> тыс. рублей;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2. Санитарная очистка территории -  </w:t>
      </w:r>
      <w:r w:rsidR="00F54D1D">
        <w:rPr>
          <w:rFonts w:ascii="Times New Roman" w:hAnsi="Times New Roman" w:cs="Times New Roman"/>
          <w:sz w:val="24"/>
          <w:szCs w:val="24"/>
        </w:rPr>
        <w:t>3852,486</w:t>
      </w:r>
      <w:r w:rsidRPr="00866400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3. Озеленение территории общего пользования – </w:t>
      </w:r>
      <w:r w:rsidR="00F54D1D">
        <w:rPr>
          <w:rFonts w:ascii="Times New Roman" w:eastAsia="Times New Roman" w:hAnsi="Times New Roman" w:cs="Times New Roman"/>
          <w:sz w:val="24"/>
          <w:szCs w:val="24"/>
        </w:rPr>
        <w:t>2800,000</w:t>
      </w:r>
      <w:r w:rsidRPr="00866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6400">
        <w:rPr>
          <w:rFonts w:ascii="Times New Roman" w:hAnsi="Times New Roman" w:cs="Times New Roman"/>
          <w:sz w:val="24"/>
          <w:szCs w:val="24"/>
        </w:rPr>
        <w:t>тыс. рублей;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4. Прочее благоустройство – </w:t>
      </w:r>
      <w:r w:rsidR="00F54D1D">
        <w:rPr>
          <w:rFonts w:ascii="Times New Roman" w:hAnsi="Times New Roman" w:cs="Times New Roman"/>
          <w:sz w:val="24"/>
          <w:szCs w:val="24"/>
        </w:rPr>
        <w:t>118092,029</w:t>
      </w:r>
      <w:r w:rsidRPr="0086640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Уличное освещение работает без сбоев, в штатном режиме. В соответствии с заключенным муниципальным контрактом производится оплата гарантирующему поставщику (ОАО «Калужская сбытовая компания) за поставленную электроэнергию для уличного освещения. Техническое обслуживание</w:t>
      </w:r>
      <w:r w:rsidR="00FD3E5B" w:rsidRPr="00866400">
        <w:rPr>
          <w:rFonts w:ascii="Times New Roman" w:hAnsi="Times New Roman" w:cs="Times New Roman"/>
          <w:sz w:val="24"/>
          <w:szCs w:val="24"/>
        </w:rPr>
        <w:t xml:space="preserve"> и ремонт</w:t>
      </w:r>
      <w:r w:rsidRPr="00866400">
        <w:rPr>
          <w:rFonts w:ascii="Times New Roman" w:hAnsi="Times New Roman" w:cs="Times New Roman"/>
          <w:sz w:val="24"/>
          <w:szCs w:val="24"/>
        </w:rPr>
        <w:t xml:space="preserve"> сетей уличного освещения проводится </w:t>
      </w:r>
      <w:r w:rsidR="00FD3E5B" w:rsidRPr="00866400">
        <w:rPr>
          <w:rFonts w:ascii="Times New Roman" w:hAnsi="Times New Roman" w:cs="Times New Roman"/>
          <w:sz w:val="24"/>
          <w:szCs w:val="24"/>
        </w:rPr>
        <w:t>подрядн</w:t>
      </w:r>
      <w:r w:rsidR="00F97976" w:rsidRPr="00866400">
        <w:rPr>
          <w:rFonts w:ascii="Times New Roman" w:hAnsi="Times New Roman" w:cs="Times New Roman"/>
          <w:sz w:val="24"/>
          <w:szCs w:val="24"/>
        </w:rPr>
        <w:t>ой</w:t>
      </w:r>
      <w:r w:rsidR="00FD3E5B" w:rsidRPr="0086640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97976" w:rsidRPr="00866400">
        <w:rPr>
          <w:rFonts w:ascii="Times New Roman" w:hAnsi="Times New Roman" w:cs="Times New Roman"/>
          <w:sz w:val="24"/>
          <w:szCs w:val="24"/>
        </w:rPr>
        <w:t>ей Ф-л "КАЛУГАЭНЕРГО" ПАО "МРСК ЦЕНТРА И ПРИВОЛЖЬЯ"</w:t>
      </w:r>
      <w:proofErr w:type="gramStart"/>
      <w:r w:rsidRPr="00866400">
        <w:rPr>
          <w:rFonts w:ascii="Times New Roman" w:hAnsi="Times New Roman" w:cs="Times New Roman"/>
          <w:sz w:val="24"/>
          <w:szCs w:val="24"/>
        </w:rPr>
        <w:t xml:space="preserve"> </w:t>
      </w:r>
      <w:r w:rsidR="00F97976" w:rsidRPr="0086640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66400">
        <w:rPr>
          <w:rFonts w:ascii="Times New Roman" w:hAnsi="Times New Roman" w:cs="Times New Roman"/>
          <w:sz w:val="24"/>
          <w:szCs w:val="24"/>
        </w:rPr>
        <w:t xml:space="preserve"> на текущий момент </w:t>
      </w:r>
      <w:r w:rsidR="00F97976" w:rsidRPr="00866400">
        <w:rPr>
          <w:rFonts w:ascii="Times New Roman" w:hAnsi="Times New Roman" w:cs="Times New Roman"/>
          <w:sz w:val="24"/>
          <w:szCs w:val="24"/>
        </w:rPr>
        <w:t xml:space="preserve">по данному мероприятию профинансированы расходы в сумме </w:t>
      </w:r>
      <w:r w:rsidRPr="00866400">
        <w:rPr>
          <w:rFonts w:ascii="Times New Roman" w:hAnsi="Times New Roman" w:cs="Times New Roman"/>
          <w:sz w:val="24"/>
          <w:szCs w:val="24"/>
        </w:rPr>
        <w:t xml:space="preserve"> </w:t>
      </w:r>
      <w:r w:rsidR="00FD3E5B" w:rsidRPr="00866400">
        <w:rPr>
          <w:rFonts w:ascii="Times New Roman" w:hAnsi="Times New Roman" w:cs="Times New Roman"/>
          <w:sz w:val="24"/>
          <w:szCs w:val="24"/>
        </w:rPr>
        <w:t>около</w:t>
      </w:r>
      <w:r w:rsidRPr="00866400">
        <w:rPr>
          <w:rFonts w:ascii="Times New Roman" w:hAnsi="Times New Roman" w:cs="Times New Roman"/>
          <w:sz w:val="24"/>
          <w:szCs w:val="24"/>
        </w:rPr>
        <w:t xml:space="preserve"> </w:t>
      </w:r>
      <w:r w:rsidR="00F54D1D">
        <w:rPr>
          <w:rFonts w:ascii="Times New Roman" w:hAnsi="Times New Roman" w:cs="Times New Roman"/>
          <w:sz w:val="24"/>
          <w:szCs w:val="24"/>
        </w:rPr>
        <w:t>778,51</w:t>
      </w:r>
      <w:r w:rsidRPr="00866400">
        <w:rPr>
          <w:rFonts w:ascii="Times New Roman" w:hAnsi="Times New Roman" w:cs="Times New Roman"/>
          <w:sz w:val="24"/>
          <w:szCs w:val="24"/>
        </w:rPr>
        <w:t xml:space="preserve"> </w:t>
      </w:r>
      <w:r w:rsidR="00F54D1D">
        <w:rPr>
          <w:rFonts w:ascii="Times New Roman" w:hAnsi="Times New Roman" w:cs="Times New Roman"/>
          <w:sz w:val="24"/>
          <w:szCs w:val="24"/>
        </w:rPr>
        <w:t>тыс</w:t>
      </w:r>
      <w:r w:rsidRPr="00866400">
        <w:rPr>
          <w:rFonts w:ascii="Times New Roman" w:hAnsi="Times New Roman" w:cs="Times New Roman"/>
          <w:sz w:val="24"/>
          <w:szCs w:val="24"/>
        </w:rPr>
        <w:t>. рублей (</w:t>
      </w:r>
      <w:r w:rsidR="005F03C9">
        <w:rPr>
          <w:rFonts w:ascii="Times New Roman" w:hAnsi="Times New Roman" w:cs="Times New Roman"/>
          <w:i/>
          <w:sz w:val="24"/>
          <w:szCs w:val="24"/>
        </w:rPr>
        <w:t>51,90</w:t>
      </w:r>
      <w:r w:rsidRPr="00866400">
        <w:rPr>
          <w:rFonts w:ascii="Times New Roman" w:hAnsi="Times New Roman" w:cs="Times New Roman"/>
          <w:i/>
          <w:sz w:val="24"/>
          <w:szCs w:val="24"/>
        </w:rPr>
        <w:t>% от запланированного объема работ</w:t>
      </w:r>
      <w:r w:rsidRPr="00866400">
        <w:rPr>
          <w:rFonts w:ascii="Times New Roman" w:hAnsi="Times New Roman" w:cs="Times New Roman"/>
          <w:sz w:val="24"/>
          <w:szCs w:val="24"/>
        </w:rPr>
        <w:t>).</w:t>
      </w:r>
    </w:p>
    <w:p w:rsidR="00FD3E5B" w:rsidRPr="00866400" w:rsidRDefault="00DF2F5B" w:rsidP="00DF2F5B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>На содержание зеленого хозяйства (</w:t>
      </w:r>
      <w:r w:rsidRPr="00866400">
        <w:rPr>
          <w:rFonts w:eastAsiaTheme="minorEastAsia"/>
          <w:i/>
        </w:rPr>
        <w:t>покос травы, ландшафтные работы, приобретение цветочных культур и саженцев деревьев</w:t>
      </w:r>
      <w:r w:rsidRPr="00866400">
        <w:rPr>
          <w:rFonts w:eastAsiaTheme="minorEastAsia"/>
        </w:rPr>
        <w:t xml:space="preserve">) направлено </w:t>
      </w:r>
      <w:r w:rsidR="005F03C9">
        <w:rPr>
          <w:rFonts w:eastAsiaTheme="minorEastAsia"/>
        </w:rPr>
        <w:t>2000</w:t>
      </w:r>
      <w:r w:rsidRPr="00866400">
        <w:rPr>
          <w:rFonts w:eastAsiaTheme="minorEastAsia"/>
        </w:rPr>
        <w:t xml:space="preserve"> тыс. рублей </w:t>
      </w:r>
      <w:r w:rsidR="00F97976" w:rsidRPr="00866400">
        <w:rPr>
          <w:rFonts w:eastAsiaTheme="minorEastAsia"/>
        </w:rPr>
        <w:t xml:space="preserve">Средства освоены на </w:t>
      </w:r>
      <w:r w:rsidR="005F03C9">
        <w:rPr>
          <w:rFonts w:eastAsiaTheme="minorEastAsia"/>
        </w:rPr>
        <w:t>71,43</w:t>
      </w:r>
      <w:r w:rsidR="00F97976" w:rsidRPr="00866400">
        <w:rPr>
          <w:rFonts w:eastAsiaTheme="minorEastAsia"/>
        </w:rPr>
        <w:t>%.</w:t>
      </w:r>
    </w:p>
    <w:p w:rsidR="005B0F6C" w:rsidRDefault="00DF2F5B" w:rsidP="00DF2F5B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>За январь-сентябрь 20</w:t>
      </w:r>
      <w:r w:rsidR="00FD3E5B" w:rsidRPr="00866400">
        <w:rPr>
          <w:rFonts w:eastAsiaTheme="minorEastAsia"/>
        </w:rPr>
        <w:t>2</w:t>
      </w:r>
      <w:r w:rsidR="005F03C9">
        <w:rPr>
          <w:rFonts w:eastAsiaTheme="minorEastAsia"/>
        </w:rPr>
        <w:t>3</w:t>
      </w:r>
      <w:r w:rsidRPr="00866400">
        <w:rPr>
          <w:rFonts w:eastAsiaTheme="minorEastAsia"/>
        </w:rPr>
        <w:t xml:space="preserve"> года</w:t>
      </w:r>
      <w:r w:rsidR="00F97976" w:rsidRPr="00866400">
        <w:rPr>
          <w:rFonts w:eastAsiaTheme="minorEastAsia"/>
        </w:rPr>
        <w:t xml:space="preserve"> с учетом планируемых затрат в сумме </w:t>
      </w:r>
      <w:r w:rsidR="005F03C9">
        <w:rPr>
          <w:rFonts w:eastAsiaTheme="minorEastAsia"/>
        </w:rPr>
        <w:t>2529,27</w:t>
      </w:r>
      <w:r w:rsidR="00F97976" w:rsidRPr="00866400">
        <w:rPr>
          <w:rFonts w:eastAsiaTheme="minorEastAsia"/>
        </w:rPr>
        <w:t xml:space="preserve"> </w:t>
      </w:r>
      <w:proofErr w:type="spellStart"/>
      <w:r w:rsidR="00F97976" w:rsidRPr="00866400">
        <w:rPr>
          <w:rFonts w:eastAsiaTheme="minorEastAsia"/>
        </w:rPr>
        <w:t>тыс</w:t>
      </w:r>
      <w:proofErr w:type="gramStart"/>
      <w:r w:rsidR="00F97976" w:rsidRPr="00866400">
        <w:rPr>
          <w:rFonts w:eastAsiaTheme="minorEastAsia"/>
        </w:rPr>
        <w:t>.р</w:t>
      </w:r>
      <w:proofErr w:type="gramEnd"/>
      <w:r w:rsidR="00F97976" w:rsidRPr="00866400">
        <w:rPr>
          <w:rFonts w:eastAsiaTheme="minorEastAsia"/>
        </w:rPr>
        <w:t>уб</w:t>
      </w:r>
      <w:proofErr w:type="spellEnd"/>
      <w:r w:rsidR="00F97976" w:rsidRPr="00866400">
        <w:rPr>
          <w:rFonts w:eastAsiaTheme="minorEastAsia"/>
        </w:rPr>
        <w:t>.</w:t>
      </w:r>
      <w:r w:rsidRPr="00866400">
        <w:rPr>
          <w:rFonts w:eastAsiaTheme="minorEastAsia"/>
        </w:rPr>
        <w:t xml:space="preserve"> выполнены работы по ликвидации несанкционированных свалок (</w:t>
      </w:r>
      <w:r w:rsidRPr="00866400">
        <w:rPr>
          <w:rFonts w:eastAsiaTheme="minorEastAsia"/>
          <w:i/>
        </w:rPr>
        <w:t>ветки, листва, строительных мусор</w:t>
      </w:r>
      <w:r w:rsidRPr="00866400">
        <w:rPr>
          <w:rFonts w:eastAsiaTheme="minorEastAsia"/>
        </w:rPr>
        <w:t xml:space="preserve">) </w:t>
      </w:r>
      <w:r w:rsidR="005B0F6C">
        <w:rPr>
          <w:rFonts w:eastAsiaTheme="minorEastAsia"/>
        </w:rPr>
        <w:t>, исполнение составило</w:t>
      </w:r>
      <w:r w:rsidRPr="00866400">
        <w:rPr>
          <w:rFonts w:eastAsiaTheme="minorEastAsia"/>
        </w:rPr>
        <w:t xml:space="preserve"> </w:t>
      </w:r>
      <w:r w:rsidR="005F03C9">
        <w:rPr>
          <w:rFonts w:eastAsiaTheme="minorEastAsia"/>
        </w:rPr>
        <w:t>68,31</w:t>
      </w:r>
      <w:r w:rsidR="005B0F6C">
        <w:rPr>
          <w:rFonts w:eastAsiaTheme="minorEastAsia"/>
        </w:rPr>
        <w:t>%</w:t>
      </w:r>
      <w:r w:rsidRPr="00866400">
        <w:rPr>
          <w:rFonts w:eastAsiaTheme="minorEastAsia"/>
        </w:rPr>
        <w:t xml:space="preserve">. </w:t>
      </w:r>
    </w:p>
    <w:p w:rsidR="00403680" w:rsidRPr="00866400" w:rsidRDefault="00DF2F5B" w:rsidP="005B0F6C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 xml:space="preserve">В рамках мероприятия «Прочее благоустройство» завершены работы по содержанию и благоустройству города. </w:t>
      </w:r>
    </w:p>
    <w:p w:rsidR="007A6FAB" w:rsidRPr="00866400" w:rsidRDefault="00403680" w:rsidP="00DF2F5B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>На комплекс работ по благоустройству и содержанию городских территорий</w:t>
      </w:r>
      <w:proofErr w:type="gramStart"/>
      <w:r w:rsidRPr="00866400">
        <w:rPr>
          <w:rFonts w:eastAsiaTheme="minorEastAsia"/>
        </w:rPr>
        <w:t xml:space="preserve"> ,</w:t>
      </w:r>
      <w:proofErr w:type="gramEnd"/>
      <w:r w:rsidRPr="00866400">
        <w:rPr>
          <w:rFonts w:eastAsiaTheme="minorEastAsia"/>
        </w:rPr>
        <w:t xml:space="preserve"> обустройство контейнерных площадок, </w:t>
      </w:r>
      <w:r w:rsidR="005F03C9">
        <w:rPr>
          <w:rFonts w:eastAsiaTheme="minorEastAsia"/>
        </w:rPr>
        <w:t xml:space="preserve">благоустройство детских площадок с дополнительным оборудованием игровых элементов, </w:t>
      </w:r>
      <w:r w:rsidRPr="00866400">
        <w:rPr>
          <w:rFonts w:eastAsiaTheme="minorEastAsia"/>
        </w:rPr>
        <w:t>обслуживание фонтана , ремонт тротуар</w:t>
      </w:r>
      <w:r w:rsidR="005F03C9">
        <w:rPr>
          <w:rFonts w:eastAsiaTheme="minorEastAsia"/>
        </w:rPr>
        <w:t xml:space="preserve">ов и придомовых территорий </w:t>
      </w:r>
      <w:r w:rsidRPr="00866400">
        <w:rPr>
          <w:rFonts w:eastAsiaTheme="minorEastAsia"/>
        </w:rPr>
        <w:t xml:space="preserve"> и др. </w:t>
      </w:r>
      <w:r w:rsidR="005A45E3">
        <w:rPr>
          <w:rFonts w:eastAsiaTheme="minorEastAsia"/>
        </w:rPr>
        <w:t xml:space="preserve">профинансировано </w:t>
      </w:r>
      <w:r w:rsidRPr="00866400">
        <w:rPr>
          <w:rFonts w:eastAsiaTheme="minorEastAsia"/>
        </w:rPr>
        <w:t xml:space="preserve"> </w:t>
      </w:r>
      <w:r w:rsidR="005F03C9">
        <w:rPr>
          <w:rFonts w:eastAsiaTheme="minorEastAsia"/>
        </w:rPr>
        <w:t>85809,157</w:t>
      </w:r>
      <w:r w:rsidR="007A6FAB" w:rsidRPr="00866400">
        <w:rPr>
          <w:rFonts w:eastAsiaTheme="minorEastAsia"/>
        </w:rPr>
        <w:t xml:space="preserve"> тыс. </w:t>
      </w:r>
      <w:proofErr w:type="spellStart"/>
      <w:r w:rsidR="007A6FAB" w:rsidRPr="00866400">
        <w:rPr>
          <w:rFonts w:eastAsiaTheme="minorEastAsia"/>
        </w:rPr>
        <w:t>руб</w:t>
      </w:r>
      <w:proofErr w:type="spellEnd"/>
      <w:r w:rsidR="007A6FAB" w:rsidRPr="00866400">
        <w:rPr>
          <w:rFonts w:eastAsiaTheme="minorEastAsia"/>
        </w:rPr>
        <w:t>).</w:t>
      </w:r>
    </w:p>
    <w:p w:rsidR="00DF2F5B" w:rsidRPr="00866400" w:rsidRDefault="007A6FAB" w:rsidP="00DF2F5B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>Кроме этого, в</w:t>
      </w:r>
      <w:r w:rsidR="00DF2F5B" w:rsidRPr="00866400">
        <w:rPr>
          <w:rFonts w:eastAsiaTheme="minorEastAsia"/>
        </w:rPr>
        <w:t xml:space="preserve"> области благоустройства </w:t>
      </w:r>
      <w:r w:rsidRPr="00866400">
        <w:rPr>
          <w:rFonts w:eastAsiaTheme="minorEastAsia"/>
        </w:rPr>
        <w:t xml:space="preserve"> </w:t>
      </w:r>
      <w:r w:rsidR="00DF2F5B" w:rsidRPr="00866400">
        <w:rPr>
          <w:rFonts w:eastAsiaTheme="minorEastAsia"/>
        </w:rPr>
        <w:t>выполняются работы по заявлениям и жалобам жителей поселения</w:t>
      </w:r>
      <w:r w:rsidRPr="00866400">
        <w:rPr>
          <w:rFonts w:eastAsiaTheme="minorEastAsia"/>
        </w:rPr>
        <w:t xml:space="preserve"> </w:t>
      </w:r>
      <w:r w:rsidR="00DF2F5B" w:rsidRPr="00866400">
        <w:rPr>
          <w:rFonts w:eastAsiaTheme="minorEastAsia"/>
        </w:rPr>
        <w:t xml:space="preserve">      </w:t>
      </w:r>
    </w:p>
    <w:p w:rsidR="00DF2F5B" w:rsidRPr="005F03C9" w:rsidRDefault="00DF2F5B" w:rsidP="00DF2F5B">
      <w:pPr>
        <w:spacing w:after="0" w:line="240" w:lineRule="auto"/>
        <w:jc w:val="center"/>
        <w:rPr>
          <w:b/>
          <w:sz w:val="28"/>
          <w:szCs w:val="28"/>
        </w:rPr>
      </w:pPr>
      <w:r w:rsidRPr="005F03C9">
        <w:rPr>
          <w:b/>
          <w:sz w:val="28"/>
          <w:szCs w:val="28"/>
        </w:rPr>
        <w:t>Дорожная деятельность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«Ремонт и содержание автомобильных дорог» в сфере дорожной деятельности нацелены на реконструкцию, расширение и обеспечение безопасности дорожного движения действующей улично-дорожной сети муниципального образования.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На 20</w:t>
      </w:r>
      <w:r w:rsidR="00C01B27" w:rsidRPr="00866400">
        <w:rPr>
          <w:rFonts w:ascii="Times New Roman" w:hAnsi="Times New Roman" w:cs="Times New Roman"/>
          <w:sz w:val="24"/>
          <w:szCs w:val="24"/>
        </w:rPr>
        <w:t>2</w:t>
      </w:r>
      <w:r w:rsidR="005F03C9">
        <w:rPr>
          <w:rFonts w:ascii="Times New Roman" w:hAnsi="Times New Roman" w:cs="Times New Roman"/>
          <w:sz w:val="24"/>
          <w:szCs w:val="24"/>
        </w:rPr>
        <w:t>3</w:t>
      </w:r>
      <w:r w:rsidRPr="00866400">
        <w:rPr>
          <w:rFonts w:ascii="Times New Roman" w:hAnsi="Times New Roman" w:cs="Times New Roman"/>
          <w:sz w:val="24"/>
          <w:szCs w:val="24"/>
        </w:rPr>
        <w:t xml:space="preserve"> год ресурсное обеспечение дорожной деятельности составляет – </w:t>
      </w:r>
      <w:r w:rsidR="005F03C9">
        <w:rPr>
          <w:rFonts w:ascii="Times New Roman" w:hAnsi="Times New Roman" w:cs="Times New Roman"/>
          <w:sz w:val="24"/>
          <w:szCs w:val="24"/>
        </w:rPr>
        <w:t>51466,819</w:t>
      </w:r>
      <w:r w:rsidRPr="00866400">
        <w:rPr>
          <w:rFonts w:ascii="Times New Roman" w:hAnsi="Times New Roman" w:cs="Times New Roman"/>
          <w:sz w:val="24"/>
          <w:szCs w:val="24"/>
        </w:rPr>
        <w:t xml:space="preserve"> тыс. рублей. В рамках поставленной задачи: «Реализация мероприятий в области дорожной деятельности в границах муниципального образования» финансирование запланированных мероприятий направлены </w:t>
      </w:r>
      <w:proofErr w:type="gramStart"/>
      <w:r w:rsidRPr="0086640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66400">
        <w:rPr>
          <w:rFonts w:ascii="Times New Roman" w:hAnsi="Times New Roman" w:cs="Times New Roman"/>
          <w:sz w:val="24"/>
          <w:szCs w:val="24"/>
        </w:rPr>
        <w:t>: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1. Содержание дорог и тротуаров – </w:t>
      </w:r>
      <w:r w:rsidR="005F03C9">
        <w:rPr>
          <w:rFonts w:ascii="Times New Roman" w:hAnsi="Times New Roman" w:cs="Times New Roman"/>
          <w:sz w:val="24"/>
          <w:szCs w:val="24"/>
        </w:rPr>
        <w:t>23475,271</w:t>
      </w:r>
      <w:r w:rsidRPr="0086640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F03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F03C9">
        <w:rPr>
          <w:rFonts w:ascii="Times New Roman" w:hAnsi="Times New Roman" w:cs="Times New Roman"/>
          <w:sz w:val="24"/>
          <w:szCs w:val="24"/>
        </w:rPr>
        <w:t>втч</w:t>
      </w:r>
      <w:proofErr w:type="spellEnd"/>
      <w:r w:rsidR="005F03C9">
        <w:rPr>
          <w:rFonts w:ascii="Times New Roman" w:hAnsi="Times New Roman" w:cs="Times New Roman"/>
          <w:sz w:val="24"/>
          <w:szCs w:val="24"/>
        </w:rPr>
        <w:t xml:space="preserve"> ср-</w:t>
      </w:r>
      <w:proofErr w:type="spellStart"/>
      <w:r w:rsidR="005F03C9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5F03C9">
        <w:rPr>
          <w:rFonts w:ascii="Times New Roman" w:hAnsi="Times New Roman" w:cs="Times New Roman"/>
          <w:sz w:val="24"/>
          <w:szCs w:val="24"/>
        </w:rPr>
        <w:t xml:space="preserve"> дорожного фонда МО – 2457,347 </w:t>
      </w:r>
      <w:proofErr w:type="spellStart"/>
      <w:r w:rsidR="005F03C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5F03C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5F03C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5F03C9">
        <w:rPr>
          <w:rFonts w:ascii="Times New Roman" w:hAnsi="Times New Roman" w:cs="Times New Roman"/>
          <w:sz w:val="24"/>
          <w:szCs w:val="24"/>
        </w:rPr>
        <w:t>)</w:t>
      </w:r>
      <w:r w:rsidRPr="00866400">
        <w:rPr>
          <w:rFonts w:ascii="Times New Roman" w:hAnsi="Times New Roman" w:cs="Times New Roman"/>
          <w:sz w:val="24"/>
          <w:szCs w:val="24"/>
        </w:rPr>
        <w:t>;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2. Ремонт и капитальный ремонт автодорог общего пользования местного значения – </w:t>
      </w:r>
      <w:r w:rsidR="005F03C9">
        <w:rPr>
          <w:rFonts w:ascii="Times New Roman" w:hAnsi="Times New Roman" w:cs="Times New Roman"/>
          <w:sz w:val="24"/>
          <w:szCs w:val="24"/>
        </w:rPr>
        <w:t>27414,393</w:t>
      </w:r>
      <w:r w:rsidRPr="0086640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731D5" w:rsidRPr="00866400">
        <w:rPr>
          <w:rFonts w:ascii="Times New Roman" w:hAnsi="Times New Roman" w:cs="Times New Roman"/>
          <w:sz w:val="24"/>
          <w:szCs w:val="24"/>
        </w:rPr>
        <w:t xml:space="preserve"> (из них средства дорожного фонда </w:t>
      </w:r>
      <w:r w:rsidR="005F03C9">
        <w:rPr>
          <w:rFonts w:ascii="Times New Roman" w:hAnsi="Times New Roman" w:cs="Times New Roman"/>
          <w:sz w:val="24"/>
          <w:szCs w:val="24"/>
        </w:rPr>
        <w:t>области</w:t>
      </w:r>
      <w:r w:rsidR="005A45E3">
        <w:rPr>
          <w:rFonts w:ascii="Times New Roman" w:hAnsi="Times New Roman" w:cs="Times New Roman"/>
          <w:sz w:val="24"/>
          <w:szCs w:val="24"/>
        </w:rPr>
        <w:t xml:space="preserve"> </w:t>
      </w:r>
      <w:r w:rsidR="001731D5" w:rsidRPr="00866400">
        <w:rPr>
          <w:rFonts w:ascii="Times New Roman" w:hAnsi="Times New Roman" w:cs="Times New Roman"/>
          <w:sz w:val="24"/>
          <w:szCs w:val="24"/>
        </w:rPr>
        <w:t xml:space="preserve">– </w:t>
      </w:r>
      <w:r w:rsidR="005F03C9">
        <w:rPr>
          <w:rFonts w:ascii="Times New Roman" w:hAnsi="Times New Roman" w:cs="Times New Roman"/>
          <w:sz w:val="24"/>
          <w:szCs w:val="24"/>
        </w:rPr>
        <w:t>15308,07</w:t>
      </w:r>
      <w:r w:rsidR="001731D5" w:rsidRPr="00866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1D5" w:rsidRPr="0086640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731D5" w:rsidRPr="0086640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731D5" w:rsidRPr="00866400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1731D5" w:rsidRPr="00866400">
        <w:rPr>
          <w:rFonts w:ascii="Times New Roman" w:hAnsi="Times New Roman" w:cs="Times New Roman"/>
          <w:sz w:val="24"/>
          <w:szCs w:val="24"/>
        </w:rPr>
        <w:t>)</w:t>
      </w:r>
      <w:r w:rsidRPr="00866400">
        <w:rPr>
          <w:rFonts w:ascii="Times New Roman" w:hAnsi="Times New Roman" w:cs="Times New Roman"/>
          <w:sz w:val="24"/>
          <w:szCs w:val="24"/>
        </w:rPr>
        <w:t>;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3. Прочие мероприятия по осуществлению дорожной деятельности на обеспечение безопасности дорожного движения – </w:t>
      </w:r>
      <w:r w:rsidR="005F03C9">
        <w:rPr>
          <w:rFonts w:ascii="Times New Roman" w:hAnsi="Times New Roman" w:cs="Times New Roman"/>
          <w:sz w:val="24"/>
          <w:szCs w:val="24"/>
        </w:rPr>
        <w:t>477,155</w:t>
      </w:r>
      <w:r w:rsidRPr="0086640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4. Паспортизация дорог – </w:t>
      </w:r>
      <w:r w:rsidR="005F03C9">
        <w:rPr>
          <w:rFonts w:ascii="Times New Roman" w:hAnsi="Times New Roman" w:cs="Times New Roman"/>
          <w:sz w:val="24"/>
          <w:szCs w:val="24"/>
        </w:rPr>
        <w:t>100</w:t>
      </w:r>
      <w:r w:rsidRPr="0086640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Эффективность выполнения запланированных мероприятий будет подведена в конце года на основе установленных показателей программы, в том числе: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1. Количество (площадь протяженность) объектов дорожной деятельности, по которым завершены работы по ремонту, капитальному ремонту, реконструкции, новому строительству;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lastRenderedPageBreak/>
        <w:t>2. Количество объектов дорожной деятельности, по которым проведена паспортизация дорог;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3. Количество ДТП по неудовлетворительным дорожным условиям.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Выполняется зимнее и летнее содержание улиц, тротуаров и внутриквартальных проездов муниципального образования (</w:t>
      </w:r>
      <w:r w:rsidRPr="00866400">
        <w:rPr>
          <w:rFonts w:ascii="Times New Roman" w:hAnsi="Times New Roman" w:cs="Times New Roman"/>
          <w:i/>
          <w:sz w:val="24"/>
          <w:szCs w:val="24"/>
        </w:rPr>
        <w:t>314400 м</w:t>
      </w:r>
      <w:proofErr w:type="gramStart"/>
      <w:r w:rsidRPr="00866400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 w:rsidRPr="00866400">
        <w:rPr>
          <w:rFonts w:ascii="Times New Roman" w:hAnsi="Times New Roman" w:cs="Times New Roman"/>
          <w:sz w:val="24"/>
          <w:szCs w:val="24"/>
        </w:rPr>
        <w:t xml:space="preserve">.). Выполнены работы по содержанию улиц, тротуаров, внутриквартальных проездов в </w:t>
      </w:r>
      <w:r w:rsidR="00C01B27" w:rsidRPr="00866400">
        <w:rPr>
          <w:rFonts w:ascii="Times New Roman" w:hAnsi="Times New Roman" w:cs="Times New Roman"/>
          <w:sz w:val="24"/>
          <w:szCs w:val="24"/>
        </w:rPr>
        <w:t xml:space="preserve">зимний и </w:t>
      </w:r>
      <w:r w:rsidRPr="00866400">
        <w:rPr>
          <w:rFonts w:ascii="Times New Roman" w:hAnsi="Times New Roman" w:cs="Times New Roman"/>
          <w:sz w:val="24"/>
          <w:szCs w:val="24"/>
        </w:rPr>
        <w:t>летний период</w:t>
      </w:r>
      <w:r w:rsidR="00C01B27" w:rsidRPr="00866400">
        <w:rPr>
          <w:rFonts w:ascii="Times New Roman" w:hAnsi="Times New Roman" w:cs="Times New Roman"/>
          <w:sz w:val="24"/>
          <w:szCs w:val="24"/>
        </w:rPr>
        <w:t>ы</w:t>
      </w:r>
      <w:r w:rsidRPr="00866400">
        <w:rPr>
          <w:rFonts w:ascii="Times New Roman" w:hAnsi="Times New Roman" w:cs="Times New Roman"/>
          <w:sz w:val="24"/>
          <w:szCs w:val="24"/>
        </w:rPr>
        <w:t xml:space="preserve"> 20</w:t>
      </w:r>
      <w:r w:rsidR="00C01B27" w:rsidRPr="00866400">
        <w:rPr>
          <w:rFonts w:ascii="Times New Roman" w:hAnsi="Times New Roman" w:cs="Times New Roman"/>
          <w:sz w:val="24"/>
          <w:szCs w:val="24"/>
        </w:rPr>
        <w:t>2</w:t>
      </w:r>
      <w:r w:rsidR="005F03C9">
        <w:rPr>
          <w:rFonts w:ascii="Times New Roman" w:hAnsi="Times New Roman" w:cs="Times New Roman"/>
          <w:sz w:val="24"/>
          <w:szCs w:val="24"/>
        </w:rPr>
        <w:t>3</w:t>
      </w:r>
      <w:r w:rsidRPr="00866400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В рамках обеспечения безопасности дорожного движения </w:t>
      </w:r>
      <w:r w:rsidR="00BB5045" w:rsidRPr="00866400">
        <w:rPr>
          <w:rFonts w:ascii="Times New Roman" w:hAnsi="Times New Roman" w:cs="Times New Roman"/>
          <w:sz w:val="24"/>
          <w:szCs w:val="24"/>
        </w:rPr>
        <w:t>нанесены дорожные разметки</w:t>
      </w:r>
      <w:r w:rsidRPr="00866400">
        <w:rPr>
          <w:rFonts w:ascii="Times New Roman" w:hAnsi="Times New Roman" w:cs="Times New Roman"/>
          <w:sz w:val="24"/>
          <w:szCs w:val="24"/>
        </w:rPr>
        <w:t xml:space="preserve">,  произведены работы по </w:t>
      </w:r>
      <w:r w:rsidR="00BB5045" w:rsidRPr="00866400">
        <w:rPr>
          <w:rFonts w:ascii="Times New Roman" w:hAnsi="Times New Roman" w:cs="Times New Roman"/>
          <w:sz w:val="24"/>
          <w:szCs w:val="24"/>
        </w:rPr>
        <w:t>ямочному ремонту</w:t>
      </w:r>
      <w:r w:rsidRPr="00866400">
        <w:rPr>
          <w:rFonts w:ascii="Times New Roman" w:hAnsi="Times New Roman" w:cs="Times New Roman"/>
          <w:sz w:val="24"/>
          <w:szCs w:val="24"/>
        </w:rPr>
        <w:t xml:space="preserve"> автомобильных </w:t>
      </w:r>
      <w:r w:rsidR="00BB5045" w:rsidRPr="00866400">
        <w:rPr>
          <w:rFonts w:ascii="Times New Roman" w:hAnsi="Times New Roman" w:cs="Times New Roman"/>
          <w:sz w:val="24"/>
          <w:szCs w:val="24"/>
        </w:rPr>
        <w:t>дорог, осуществлены работы по бетонированию остановок</w:t>
      </w:r>
      <w:r w:rsidRPr="00866400">
        <w:rPr>
          <w:rFonts w:ascii="Times New Roman" w:hAnsi="Times New Roman" w:cs="Times New Roman"/>
          <w:sz w:val="24"/>
          <w:szCs w:val="24"/>
        </w:rPr>
        <w:t>.</w:t>
      </w:r>
    </w:p>
    <w:p w:rsidR="00DF2F5B" w:rsidRPr="005F03C9" w:rsidRDefault="001731D5" w:rsidP="00DF2F5B">
      <w:pPr>
        <w:spacing w:after="0" w:line="240" w:lineRule="auto"/>
        <w:jc w:val="center"/>
        <w:rPr>
          <w:b/>
          <w:sz w:val="28"/>
          <w:szCs w:val="28"/>
        </w:rPr>
      </w:pPr>
      <w:r w:rsidRPr="005F03C9">
        <w:rPr>
          <w:b/>
          <w:sz w:val="28"/>
          <w:szCs w:val="28"/>
        </w:rPr>
        <w:t>Связь</w:t>
      </w:r>
    </w:p>
    <w:p w:rsidR="00DF2F5B" w:rsidRPr="00866400" w:rsidRDefault="006342F5" w:rsidP="00DF2F5B">
      <w:pPr>
        <w:widowControl w:val="0"/>
        <w:shd w:val="clear" w:color="auto" w:fill="FFFFFF"/>
        <w:tabs>
          <w:tab w:val="left" w:pos="1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</w:t>
      </w:r>
      <w:r w:rsidR="00DF2F5B" w:rsidRPr="00866400">
        <w:rPr>
          <w:rFonts w:ascii="Times New Roman" w:hAnsi="Times New Roman" w:cs="Times New Roman"/>
          <w:sz w:val="24"/>
          <w:szCs w:val="24"/>
        </w:rPr>
        <w:t xml:space="preserve"> связи на территории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DF2F5B" w:rsidRPr="00866400">
        <w:rPr>
          <w:rFonts w:ascii="Times New Roman" w:hAnsi="Times New Roman" w:cs="Times New Roman"/>
          <w:sz w:val="24"/>
          <w:szCs w:val="24"/>
        </w:rPr>
        <w:t xml:space="preserve"> развита достаточно хорошо. Предприятия связи полностью обеспечивают население услугами связи и информационными технологиями. Территория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DF2F5B" w:rsidRPr="00866400">
        <w:rPr>
          <w:rFonts w:ascii="Times New Roman" w:hAnsi="Times New Roman" w:cs="Times New Roman"/>
          <w:sz w:val="24"/>
          <w:szCs w:val="24"/>
        </w:rPr>
        <w:t xml:space="preserve"> находится в диапазоне действия всех сотовых операторов. Телекоммуникации представлены вещанием основных телеканалов. Интернет представлен следующими компаниями: «Ростелеком», «</w:t>
      </w:r>
      <w:proofErr w:type="spellStart"/>
      <w:r w:rsidR="00DF2F5B" w:rsidRPr="00866400">
        <w:rPr>
          <w:rFonts w:ascii="Times New Roman" w:hAnsi="Times New Roman" w:cs="Times New Roman"/>
          <w:sz w:val="24"/>
          <w:szCs w:val="24"/>
        </w:rPr>
        <w:t>Техноком</w:t>
      </w:r>
      <w:proofErr w:type="spellEnd"/>
      <w:r w:rsidR="00DF2F5B" w:rsidRPr="00866400">
        <w:rPr>
          <w:rFonts w:ascii="Times New Roman" w:hAnsi="Times New Roman" w:cs="Times New Roman"/>
          <w:sz w:val="24"/>
          <w:szCs w:val="24"/>
        </w:rPr>
        <w:t>», «Кредо Телеком», «Телеком».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городское поселение город Боровск имеются операторы сотовой связи: ОАО «Ростелеком» (TELE2); ОАО «Мобильные </w:t>
      </w:r>
      <w:proofErr w:type="spellStart"/>
      <w:r w:rsidRPr="00866400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Pr="00866400">
        <w:rPr>
          <w:rFonts w:ascii="Times New Roman" w:hAnsi="Times New Roman" w:cs="Times New Roman"/>
          <w:sz w:val="24"/>
          <w:szCs w:val="24"/>
        </w:rPr>
        <w:t xml:space="preserve"> (МТС); ООО «Теле</w:t>
      </w:r>
      <w:proofErr w:type="gramStart"/>
      <w:r w:rsidRPr="0086640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866400">
        <w:rPr>
          <w:rFonts w:ascii="Times New Roman" w:hAnsi="Times New Roman" w:cs="Times New Roman"/>
          <w:sz w:val="24"/>
          <w:szCs w:val="24"/>
        </w:rPr>
        <w:t>»; ООО «Мегафон»; ООО «Билайн».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5B" w:rsidRPr="005F03C9" w:rsidRDefault="00DF2F5B" w:rsidP="005F03C9">
      <w:pPr>
        <w:spacing w:after="0" w:line="240" w:lineRule="auto"/>
        <w:jc w:val="center"/>
        <w:rPr>
          <w:b/>
          <w:sz w:val="28"/>
          <w:szCs w:val="28"/>
        </w:rPr>
      </w:pPr>
      <w:r w:rsidRPr="005F03C9">
        <w:rPr>
          <w:b/>
          <w:sz w:val="28"/>
          <w:szCs w:val="28"/>
        </w:rPr>
        <w:t>Молодежная политика, культура и спорт</w:t>
      </w:r>
    </w:p>
    <w:p w:rsidR="00DF2F5B" w:rsidRDefault="001D370A" w:rsidP="00173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B5045" w:rsidRPr="005A45E3">
        <w:rPr>
          <w:rFonts w:ascii="Times New Roman" w:hAnsi="Times New Roman" w:cs="Times New Roman"/>
          <w:sz w:val="24"/>
          <w:szCs w:val="24"/>
        </w:rPr>
        <w:t xml:space="preserve">а фоне </w:t>
      </w:r>
      <w:r w:rsidRPr="001D370A">
        <w:rPr>
          <w:rFonts w:ascii="Times New Roman" w:hAnsi="Times New Roman" w:cs="Times New Roman"/>
          <w:sz w:val="24"/>
          <w:szCs w:val="24"/>
        </w:rPr>
        <w:t xml:space="preserve">специальной военной операции в </w:t>
      </w:r>
      <w:r>
        <w:rPr>
          <w:rFonts w:ascii="Times New Roman" w:hAnsi="Times New Roman" w:cs="Times New Roman"/>
          <w:sz w:val="24"/>
          <w:szCs w:val="24"/>
        </w:rPr>
        <w:t>2023 году отменены</w:t>
      </w:r>
      <w:r w:rsidRPr="001D370A">
        <w:rPr>
          <w:rFonts w:ascii="Times New Roman" w:hAnsi="Times New Roman" w:cs="Times New Roman"/>
          <w:sz w:val="24"/>
          <w:szCs w:val="24"/>
        </w:rPr>
        <w:t xml:space="preserve"> </w:t>
      </w:r>
      <w:r w:rsidR="00DF2F5B" w:rsidRPr="005A45E3">
        <w:rPr>
          <w:rFonts w:ascii="Times New Roman" w:hAnsi="Times New Roman" w:cs="Times New Roman"/>
          <w:sz w:val="24"/>
          <w:szCs w:val="24"/>
        </w:rPr>
        <w:t>культурно-массовы</w:t>
      </w:r>
      <w:r w:rsidR="006342F5">
        <w:rPr>
          <w:rFonts w:ascii="Times New Roman" w:hAnsi="Times New Roman" w:cs="Times New Roman"/>
          <w:sz w:val="24"/>
          <w:szCs w:val="24"/>
        </w:rPr>
        <w:t>е</w:t>
      </w:r>
      <w:r w:rsidR="00DF2F5B" w:rsidRPr="005A45E3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F2F5B" w:rsidRPr="005A45E3">
        <w:rPr>
          <w:rFonts w:ascii="Times New Roman" w:hAnsi="Times New Roman" w:cs="Times New Roman"/>
          <w:sz w:val="24"/>
          <w:szCs w:val="24"/>
        </w:rPr>
        <w:t xml:space="preserve"> в целом </w:t>
      </w:r>
      <w:r>
        <w:rPr>
          <w:rFonts w:ascii="Times New Roman" w:hAnsi="Times New Roman" w:cs="Times New Roman"/>
          <w:sz w:val="24"/>
          <w:szCs w:val="24"/>
        </w:rPr>
        <w:t xml:space="preserve"> по городу</w:t>
      </w:r>
      <w:r w:rsidR="00DF2F5B" w:rsidRPr="005A45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42F5" w:rsidRDefault="006342F5" w:rsidP="00173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2F5" w:rsidRPr="006342F5" w:rsidRDefault="006342F5" w:rsidP="006342F5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 w:rsidRPr="006342F5">
        <w:rPr>
          <w:b/>
          <w:sz w:val="24"/>
          <w:szCs w:val="24"/>
        </w:rPr>
        <w:t>Основные показатели прогноза социально-экономического развития</w:t>
      </w:r>
    </w:p>
    <w:p w:rsidR="006342F5" w:rsidRPr="006342F5" w:rsidRDefault="006342F5" w:rsidP="006342F5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 w:rsidRPr="006342F5">
        <w:rPr>
          <w:b/>
          <w:sz w:val="24"/>
          <w:szCs w:val="24"/>
        </w:rPr>
        <w:t>МО ГП город Боровск на 2023 год и на период 2024-2026 годов</w:t>
      </w:r>
    </w:p>
    <w:tbl>
      <w:tblPr>
        <w:tblW w:w="101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1"/>
        <w:gridCol w:w="896"/>
        <w:gridCol w:w="1102"/>
        <w:gridCol w:w="1103"/>
        <w:gridCol w:w="1155"/>
        <w:gridCol w:w="1103"/>
        <w:gridCol w:w="1100"/>
      </w:tblGrid>
      <w:tr w:rsidR="006342F5" w:rsidRPr="00F70B1E" w:rsidTr="007F4CB8">
        <w:trPr>
          <w:tblCellSpacing w:w="0" w:type="dxa"/>
        </w:trPr>
        <w:tc>
          <w:tcPr>
            <w:tcW w:w="3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Показатели</w:t>
            </w:r>
          </w:p>
        </w:tc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Ед. изм.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Отчет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Оценка</w:t>
            </w:r>
          </w:p>
        </w:tc>
        <w:tc>
          <w:tcPr>
            <w:tcW w:w="33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Прогноз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3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6342F5" w:rsidRDefault="006342F5" w:rsidP="007F4CB8">
            <w:pPr>
              <w:rPr>
                <w:color w:val="632423" w:themeColor="accent2" w:themeShade="8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6342F5" w:rsidRDefault="006342F5" w:rsidP="007F4CB8">
            <w:pPr>
              <w:rPr>
                <w:color w:val="632423" w:themeColor="accent2" w:themeShade="8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2022г.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2023г.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2024г.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2025г.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2026г.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b/>
                <w:bCs/>
                <w:color w:val="000000"/>
              </w:rPr>
              <w:t>Население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956A0">
              <w:rPr>
                <w:color w:val="000000"/>
              </w:rPr>
              <w:t>Численность населения на конец года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</w:t>
            </w:r>
            <w:r w:rsidRPr="008956A0">
              <w:rPr>
                <w:color w:val="000000"/>
              </w:rPr>
              <w:t>ыс</w:t>
            </w:r>
            <w:proofErr w:type="gramStart"/>
            <w:r w:rsidRPr="008956A0">
              <w:rPr>
                <w:color w:val="000000"/>
              </w:rPr>
              <w:t>.ч</w:t>
            </w:r>
            <w:proofErr w:type="gramEnd"/>
            <w:r w:rsidRPr="008956A0">
              <w:rPr>
                <w:color w:val="000000"/>
              </w:rPr>
              <w:t>ел</w:t>
            </w:r>
            <w:proofErr w:type="spellEnd"/>
            <w:r w:rsidRPr="008956A0">
              <w:rPr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12,598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12,600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12,600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12,600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12,600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b/>
                <w:bCs/>
                <w:color w:val="000000"/>
              </w:rPr>
              <w:t>Доходы населения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color w:val="000000"/>
              </w:rPr>
              <w:t>Среднемесячная заработная плата на 1 работника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956A0">
              <w:rPr>
                <w:color w:val="000000"/>
              </w:rPr>
              <w:t>руб.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47983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49408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49980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50950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51357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b/>
                <w:bCs/>
                <w:color w:val="000000"/>
              </w:rPr>
              <w:t>Объем отгруженной продукции, объем инвестиций, розничный товарооборот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color w:val="000000"/>
              </w:rPr>
              <w:t>Объем отгруженной продукции (без НДС и акцизов) всего по разделам</w:t>
            </w:r>
            <w:proofErr w:type="gramStart"/>
            <w:r w:rsidRPr="008956A0">
              <w:rPr>
                <w:color w:val="000000"/>
              </w:rPr>
              <w:t xml:space="preserve"> С</w:t>
            </w:r>
            <w:proofErr w:type="gramEnd"/>
            <w:r w:rsidRPr="008956A0">
              <w:rPr>
                <w:color w:val="000000"/>
              </w:rPr>
              <w:t>, D, E ОКВЭД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4037,345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4244,390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4543,206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4663,297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4791,014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color w:val="000000"/>
              </w:rPr>
              <w:t>в том числе: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941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Добывающие производства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Обрабатывающие производства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4037,345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4244,390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4543,206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4663,297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4791,014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Производство и распределение электроэнергии, газа и воды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Объем отгруженной продукции по малым предприятиям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1516,880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1529,953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1582,988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1629,277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1685,834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Инвестиции в основной капитал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307,480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357,824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114,863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104,353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54,750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 xml:space="preserve">Розничный </w:t>
            </w:r>
            <w:r>
              <w:rPr>
                <w:i/>
                <w:color w:val="000000"/>
              </w:rPr>
              <w:t xml:space="preserve">и оптовый </w:t>
            </w:r>
            <w:r w:rsidRPr="008956A0">
              <w:rPr>
                <w:i/>
                <w:color w:val="000000"/>
              </w:rPr>
              <w:t>товарооборот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441,000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447,000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454,610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462,220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469,830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Оборот общественного питания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Объем платных услуг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</w:tr>
    </w:tbl>
    <w:p w:rsidR="006342F5" w:rsidRPr="005A45E3" w:rsidRDefault="006342F5" w:rsidP="00173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342F5" w:rsidRPr="005A45E3" w:rsidSect="002510E4">
      <w:pgSz w:w="11906" w:h="16838"/>
      <w:pgMar w:top="709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6A2"/>
    <w:multiLevelType w:val="hybridMultilevel"/>
    <w:tmpl w:val="CDBC5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D706B"/>
    <w:multiLevelType w:val="hybridMultilevel"/>
    <w:tmpl w:val="BA583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778F7"/>
    <w:multiLevelType w:val="hybridMultilevel"/>
    <w:tmpl w:val="EA729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3402A"/>
    <w:multiLevelType w:val="hybridMultilevel"/>
    <w:tmpl w:val="0E24E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0770E"/>
    <w:multiLevelType w:val="hybridMultilevel"/>
    <w:tmpl w:val="A62EC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2239A"/>
    <w:multiLevelType w:val="hybridMultilevel"/>
    <w:tmpl w:val="0BF65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139D2"/>
    <w:multiLevelType w:val="hybridMultilevel"/>
    <w:tmpl w:val="4C420E8A"/>
    <w:lvl w:ilvl="0" w:tplc="6FF6A5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9D70AB"/>
    <w:multiLevelType w:val="hybridMultilevel"/>
    <w:tmpl w:val="54689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CA2CBE"/>
    <w:multiLevelType w:val="hybridMultilevel"/>
    <w:tmpl w:val="8E722702"/>
    <w:lvl w:ilvl="0" w:tplc="F5AC55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E107BA"/>
    <w:multiLevelType w:val="hybridMultilevel"/>
    <w:tmpl w:val="A0BCEEFE"/>
    <w:lvl w:ilvl="0" w:tplc="9A1C99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D75224"/>
    <w:multiLevelType w:val="multilevel"/>
    <w:tmpl w:val="CDD635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B0265D"/>
    <w:multiLevelType w:val="hybridMultilevel"/>
    <w:tmpl w:val="934667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87777D6"/>
    <w:multiLevelType w:val="hybridMultilevel"/>
    <w:tmpl w:val="625CD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6000B7"/>
    <w:multiLevelType w:val="hybridMultilevel"/>
    <w:tmpl w:val="4266CB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564BDD"/>
    <w:multiLevelType w:val="hybridMultilevel"/>
    <w:tmpl w:val="D4EE2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521A1"/>
    <w:multiLevelType w:val="hybridMultilevel"/>
    <w:tmpl w:val="33C8EFA6"/>
    <w:lvl w:ilvl="0" w:tplc="6032F1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0A2810"/>
    <w:multiLevelType w:val="hybridMultilevel"/>
    <w:tmpl w:val="5240F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267E7"/>
    <w:multiLevelType w:val="hybridMultilevel"/>
    <w:tmpl w:val="151C3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22372"/>
    <w:multiLevelType w:val="multilevel"/>
    <w:tmpl w:val="38AA35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7C5BCD"/>
    <w:multiLevelType w:val="hybridMultilevel"/>
    <w:tmpl w:val="94FE7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6E6741"/>
    <w:multiLevelType w:val="hybridMultilevel"/>
    <w:tmpl w:val="9870A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102A31"/>
    <w:multiLevelType w:val="hybridMultilevel"/>
    <w:tmpl w:val="97EC9C70"/>
    <w:lvl w:ilvl="0" w:tplc="A2D68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1"/>
  </w:num>
  <w:num w:numId="4">
    <w:abstractNumId w:val="17"/>
  </w:num>
  <w:num w:numId="5">
    <w:abstractNumId w:val="2"/>
  </w:num>
  <w:num w:numId="6">
    <w:abstractNumId w:val="6"/>
  </w:num>
  <w:num w:numId="7">
    <w:abstractNumId w:val="8"/>
  </w:num>
  <w:num w:numId="8">
    <w:abstractNumId w:val="15"/>
  </w:num>
  <w:num w:numId="9">
    <w:abstractNumId w:val="19"/>
  </w:num>
  <w:num w:numId="10">
    <w:abstractNumId w:val="3"/>
  </w:num>
  <w:num w:numId="11">
    <w:abstractNumId w:val="14"/>
  </w:num>
  <w:num w:numId="12">
    <w:abstractNumId w:val="16"/>
  </w:num>
  <w:num w:numId="13">
    <w:abstractNumId w:val="7"/>
  </w:num>
  <w:num w:numId="14">
    <w:abstractNumId w:val="20"/>
  </w:num>
  <w:num w:numId="15">
    <w:abstractNumId w:val="13"/>
  </w:num>
  <w:num w:numId="16">
    <w:abstractNumId w:val="9"/>
  </w:num>
  <w:num w:numId="17">
    <w:abstractNumId w:val="21"/>
  </w:num>
  <w:num w:numId="18">
    <w:abstractNumId w:val="0"/>
  </w:num>
  <w:num w:numId="19">
    <w:abstractNumId w:val="5"/>
  </w:num>
  <w:num w:numId="20">
    <w:abstractNumId w:val="4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463E"/>
    <w:rsid w:val="00020188"/>
    <w:rsid w:val="000242D4"/>
    <w:rsid w:val="00026E68"/>
    <w:rsid w:val="0009452D"/>
    <w:rsid w:val="00095468"/>
    <w:rsid w:val="000A4791"/>
    <w:rsid w:val="000A6CC4"/>
    <w:rsid w:val="000B3AA8"/>
    <w:rsid w:val="000E6937"/>
    <w:rsid w:val="000E72C0"/>
    <w:rsid w:val="000F1FAC"/>
    <w:rsid w:val="00116E58"/>
    <w:rsid w:val="00146DB1"/>
    <w:rsid w:val="00150A73"/>
    <w:rsid w:val="00155081"/>
    <w:rsid w:val="001566E6"/>
    <w:rsid w:val="001731D5"/>
    <w:rsid w:val="00195920"/>
    <w:rsid w:val="001D370A"/>
    <w:rsid w:val="001E547B"/>
    <w:rsid w:val="001F17CB"/>
    <w:rsid w:val="00200E6F"/>
    <w:rsid w:val="00205588"/>
    <w:rsid w:val="002302FF"/>
    <w:rsid w:val="00237A10"/>
    <w:rsid w:val="002467FA"/>
    <w:rsid w:val="002510E4"/>
    <w:rsid w:val="00257568"/>
    <w:rsid w:val="00273D7B"/>
    <w:rsid w:val="002B37D9"/>
    <w:rsid w:val="002D631D"/>
    <w:rsid w:val="002D7AD5"/>
    <w:rsid w:val="002F0486"/>
    <w:rsid w:val="00324C6E"/>
    <w:rsid w:val="003353CB"/>
    <w:rsid w:val="00347484"/>
    <w:rsid w:val="003961FC"/>
    <w:rsid w:val="003C3177"/>
    <w:rsid w:val="003E41CD"/>
    <w:rsid w:val="003F41C8"/>
    <w:rsid w:val="003F463E"/>
    <w:rsid w:val="003F6064"/>
    <w:rsid w:val="00403680"/>
    <w:rsid w:val="00405BD9"/>
    <w:rsid w:val="00427936"/>
    <w:rsid w:val="00444ECA"/>
    <w:rsid w:val="00463A76"/>
    <w:rsid w:val="004771CA"/>
    <w:rsid w:val="004A0033"/>
    <w:rsid w:val="004A1AF7"/>
    <w:rsid w:val="004A230C"/>
    <w:rsid w:val="004B42C9"/>
    <w:rsid w:val="004D45EB"/>
    <w:rsid w:val="005171CC"/>
    <w:rsid w:val="00525AED"/>
    <w:rsid w:val="00532153"/>
    <w:rsid w:val="00543CE2"/>
    <w:rsid w:val="00556634"/>
    <w:rsid w:val="00594F7F"/>
    <w:rsid w:val="005A45E3"/>
    <w:rsid w:val="005B0F6C"/>
    <w:rsid w:val="005E0E1B"/>
    <w:rsid w:val="005F03C9"/>
    <w:rsid w:val="005F1AA1"/>
    <w:rsid w:val="00605297"/>
    <w:rsid w:val="006054C7"/>
    <w:rsid w:val="0061016D"/>
    <w:rsid w:val="0061230F"/>
    <w:rsid w:val="00623E09"/>
    <w:rsid w:val="006342F5"/>
    <w:rsid w:val="0064404C"/>
    <w:rsid w:val="0064461B"/>
    <w:rsid w:val="006458FA"/>
    <w:rsid w:val="0066069B"/>
    <w:rsid w:val="00681E5F"/>
    <w:rsid w:val="00687428"/>
    <w:rsid w:val="006A1331"/>
    <w:rsid w:val="006F0CAF"/>
    <w:rsid w:val="006F379E"/>
    <w:rsid w:val="00713795"/>
    <w:rsid w:val="00740A7C"/>
    <w:rsid w:val="00742999"/>
    <w:rsid w:val="0078663F"/>
    <w:rsid w:val="0079141E"/>
    <w:rsid w:val="007955A2"/>
    <w:rsid w:val="007A6FAB"/>
    <w:rsid w:val="007C6B01"/>
    <w:rsid w:val="007E5F2E"/>
    <w:rsid w:val="0080446E"/>
    <w:rsid w:val="00830DD3"/>
    <w:rsid w:val="00831710"/>
    <w:rsid w:val="00866400"/>
    <w:rsid w:val="008834F9"/>
    <w:rsid w:val="00883D56"/>
    <w:rsid w:val="0091078F"/>
    <w:rsid w:val="009204E9"/>
    <w:rsid w:val="009502E5"/>
    <w:rsid w:val="009561CC"/>
    <w:rsid w:val="00980C5C"/>
    <w:rsid w:val="009951A8"/>
    <w:rsid w:val="009C7B36"/>
    <w:rsid w:val="009D18C3"/>
    <w:rsid w:val="00A00944"/>
    <w:rsid w:val="00A07129"/>
    <w:rsid w:val="00A12531"/>
    <w:rsid w:val="00A24AAD"/>
    <w:rsid w:val="00A265A0"/>
    <w:rsid w:val="00A45E79"/>
    <w:rsid w:val="00A524D0"/>
    <w:rsid w:val="00A719F6"/>
    <w:rsid w:val="00A92EDE"/>
    <w:rsid w:val="00AD2AD6"/>
    <w:rsid w:val="00AD612F"/>
    <w:rsid w:val="00AF30B4"/>
    <w:rsid w:val="00B05B09"/>
    <w:rsid w:val="00B27251"/>
    <w:rsid w:val="00B40629"/>
    <w:rsid w:val="00B40A6A"/>
    <w:rsid w:val="00B40FAD"/>
    <w:rsid w:val="00B50AE5"/>
    <w:rsid w:val="00B53C41"/>
    <w:rsid w:val="00B83E48"/>
    <w:rsid w:val="00BA4ECA"/>
    <w:rsid w:val="00BB5045"/>
    <w:rsid w:val="00BD0454"/>
    <w:rsid w:val="00BD432F"/>
    <w:rsid w:val="00BE36C0"/>
    <w:rsid w:val="00BE5E7E"/>
    <w:rsid w:val="00BF5C58"/>
    <w:rsid w:val="00C01B27"/>
    <w:rsid w:val="00C02F88"/>
    <w:rsid w:val="00C14B37"/>
    <w:rsid w:val="00C43228"/>
    <w:rsid w:val="00C5142B"/>
    <w:rsid w:val="00C5268D"/>
    <w:rsid w:val="00C67A83"/>
    <w:rsid w:val="00C702CC"/>
    <w:rsid w:val="00C860BB"/>
    <w:rsid w:val="00C93C8B"/>
    <w:rsid w:val="00C94ACE"/>
    <w:rsid w:val="00C95551"/>
    <w:rsid w:val="00C960EF"/>
    <w:rsid w:val="00CA5C54"/>
    <w:rsid w:val="00CD1401"/>
    <w:rsid w:val="00CD6FE0"/>
    <w:rsid w:val="00CE1176"/>
    <w:rsid w:val="00CE4AAF"/>
    <w:rsid w:val="00D36870"/>
    <w:rsid w:val="00D45640"/>
    <w:rsid w:val="00D47233"/>
    <w:rsid w:val="00D530B5"/>
    <w:rsid w:val="00D74177"/>
    <w:rsid w:val="00D95FCF"/>
    <w:rsid w:val="00DF2F5B"/>
    <w:rsid w:val="00E00DAE"/>
    <w:rsid w:val="00E07294"/>
    <w:rsid w:val="00E240C8"/>
    <w:rsid w:val="00E4030F"/>
    <w:rsid w:val="00EB3E7E"/>
    <w:rsid w:val="00EC3F60"/>
    <w:rsid w:val="00EC746B"/>
    <w:rsid w:val="00EF55B4"/>
    <w:rsid w:val="00F00888"/>
    <w:rsid w:val="00F04485"/>
    <w:rsid w:val="00F54D1D"/>
    <w:rsid w:val="00F724EF"/>
    <w:rsid w:val="00F7461A"/>
    <w:rsid w:val="00F8424C"/>
    <w:rsid w:val="00F85575"/>
    <w:rsid w:val="00F93D41"/>
    <w:rsid w:val="00F97976"/>
    <w:rsid w:val="00FC2BB1"/>
    <w:rsid w:val="00FC6928"/>
    <w:rsid w:val="00FD3E5B"/>
    <w:rsid w:val="00FE71D2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1E"/>
  </w:style>
  <w:style w:type="paragraph" w:styleId="1">
    <w:name w:val="heading 1"/>
    <w:basedOn w:val="a"/>
    <w:next w:val="a"/>
    <w:link w:val="10"/>
    <w:qFormat/>
    <w:rsid w:val="008834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8834F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8834F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B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4ACE"/>
  </w:style>
  <w:style w:type="paragraph" w:styleId="a4">
    <w:name w:val="caption"/>
    <w:basedOn w:val="a"/>
    <w:next w:val="a"/>
    <w:uiPriority w:val="35"/>
    <w:unhideWhenUsed/>
    <w:qFormat/>
    <w:rsid w:val="00C94ACE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AC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semiHidden/>
    <w:rsid w:val="00D4564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D45640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CE4AA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02F88"/>
    <w:pPr>
      <w:ind w:left="720"/>
      <w:contextualSpacing/>
    </w:pPr>
  </w:style>
  <w:style w:type="character" w:customStyle="1" w:styleId="highlight">
    <w:name w:val="highlight"/>
    <w:basedOn w:val="a0"/>
    <w:rsid w:val="00556634"/>
  </w:style>
  <w:style w:type="character" w:customStyle="1" w:styleId="10">
    <w:name w:val="Заголовок 1 Знак"/>
    <w:basedOn w:val="a0"/>
    <w:link w:val="1"/>
    <w:rsid w:val="008834F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8834F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8834F9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1">
    <w:name w:val="Без интервала1"/>
    <w:link w:val="NoSpacing"/>
    <w:rsid w:val="001566E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oSpacing">
    <w:name w:val="No Spacing Знак"/>
    <w:link w:val="11"/>
    <w:rsid w:val="001566E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b">
    <w:name w:val="Знак Знак Знак Знак"/>
    <w:basedOn w:val="a"/>
    <w:rsid w:val="00F746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List"/>
    <w:basedOn w:val="a"/>
    <w:rsid w:val="00F7461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1"/>
    <w:uiPriority w:val="59"/>
    <w:rsid w:val="0024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740A7C"/>
    <w:rPr>
      <w:i/>
      <w:iCs/>
    </w:rPr>
  </w:style>
  <w:style w:type="character" w:customStyle="1" w:styleId="textexposedshow">
    <w:name w:val="text_exposed_show"/>
    <w:basedOn w:val="a0"/>
    <w:rsid w:val="00543CE2"/>
  </w:style>
  <w:style w:type="character" w:styleId="af">
    <w:name w:val="Strong"/>
    <w:basedOn w:val="a0"/>
    <w:uiPriority w:val="22"/>
    <w:qFormat/>
    <w:rsid w:val="00B05B09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B05B0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rmcmbgwn">
    <w:name w:val="rmcmbgwn"/>
    <w:basedOn w:val="a"/>
    <w:rsid w:val="00A0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200E6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00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5;&#1056;&#1054;&#1043;&#1053;&#1054;&#1047;\2023\&#1055;&#1088;&#1086;&#1075;&#1085;&#1086;&#1079;%202024_2026\&#1056;&#1072;&#1089;&#1095;&#1077;&#1090;%20&#1089;&#1088;&#1077;&#1076;&#1085;%20&#1079;&#1087;_2024_202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/>
              <a:t>Среднемесячная заработная плата на 1 работника (руб) </a:t>
            </a:r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'2024-2026'!$D$43:$E$43</c:f>
              <c:strCache>
                <c:ptCount val="1"/>
                <c:pt idx="0">
                  <c:v>Среднемесячная заработная плата на 1 работника 34535,01</c:v>
                </c:pt>
              </c:strCache>
            </c:strRef>
          </c:tx>
          <c:spPr>
            <a:ln>
              <a:solidFill>
                <a:srgbClr val="0000CC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4.1666666666666664E-2"/>
                  <c:y val="-8.3333333333333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9E-3"/>
                  <c:y val="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555555555555555E-2"/>
                  <c:y val="-7.8703703703703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5555555555554534E-3"/>
                  <c:y val="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accent2"/>
              </a:solidFill>
            </c:spPr>
            <c:txPr>
              <a:bodyPr/>
              <a:lstStyle/>
              <a:p>
                <a:pPr>
                  <a:defRPr sz="10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'2024-2026'!$F$42:$K$42</c:f>
              <c:strCache>
                <c:ptCount val="5"/>
                <c:pt idx="0">
                  <c:v>2022г</c:v>
                </c:pt>
                <c:pt idx="1">
                  <c:v>2023г</c:v>
                </c:pt>
                <c:pt idx="2">
                  <c:v>2024г</c:v>
                </c:pt>
                <c:pt idx="3">
                  <c:v>2025г</c:v>
                </c:pt>
                <c:pt idx="4">
                  <c:v>2026г</c:v>
                </c:pt>
              </c:strCache>
            </c:strRef>
          </c:cat>
          <c:val>
            <c:numRef>
              <c:f>'2024-2026'!$F$43:$K$43</c:f>
              <c:numCache>
                <c:formatCode>0</c:formatCode>
                <c:ptCount val="5"/>
                <c:pt idx="0">
                  <c:v>47983</c:v>
                </c:pt>
                <c:pt idx="1">
                  <c:v>49408</c:v>
                </c:pt>
                <c:pt idx="2">
                  <c:v>49982</c:v>
                </c:pt>
                <c:pt idx="3">
                  <c:v>50950</c:v>
                </c:pt>
                <c:pt idx="4">
                  <c:v>51357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497472"/>
        <c:axId val="77499008"/>
      </c:lineChart>
      <c:catAx>
        <c:axId val="77497472"/>
        <c:scaling>
          <c:orientation val="minMax"/>
        </c:scaling>
        <c:delete val="0"/>
        <c:axPos val="b"/>
        <c:majorTickMark val="out"/>
        <c:minorTickMark val="none"/>
        <c:tickLblPos val="nextTo"/>
        <c:crossAx val="77499008"/>
        <c:crosses val="autoZero"/>
        <c:auto val="1"/>
        <c:lblAlgn val="ctr"/>
        <c:lblOffset val="100"/>
        <c:noMultiLvlLbl val="0"/>
      </c:catAx>
      <c:valAx>
        <c:axId val="77499008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77497472"/>
        <c:crosses val="autoZero"/>
        <c:crossBetween val="between"/>
      </c:valAx>
      <c:spPr>
        <a:gradFill>
          <a:gsLst>
            <a:gs pos="0">
              <a:srgbClr val="E6DCAC"/>
            </a:gs>
            <a:gs pos="12000">
              <a:srgbClr val="E6D78A"/>
            </a:gs>
            <a:gs pos="30000">
              <a:srgbClr val="C7AC4C"/>
            </a:gs>
            <a:gs pos="45000">
              <a:srgbClr val="E6D78A"/>
            </a:gs>
            <a:gs pos="77000">
              <a:srgbClr val="C7AC4C"/>
            </a:gs>
            <a:gs pos="100000">
              <a:srgbClr val="E6DCAC"/>
            </a:gs>
          </a:gsLst>
          <a:lin ang="5400000" scaled="0"/>
        </a:gradFill>
      </c:spPr>
    </c:plotArea>
    <c:plotVisOnly val="1"/>
    <c:dispBlanksAs val="zero"/>
    <c:showDLblsOverMax val="0"/>
  </c:chart>
  <c:spPr>
    <a:gradFill flip="none" rotWithShape="1">
      <a:gsLst>
        <a:gs pos="0">
          <a:srgbClr val="FBEAC7"/>
        </a:gs>
        <a:gs pos="17999">
          <a:srgbClr val="FEE7F2"/>
        </a:gs>
        <a:gs pos="36000">
          <a:srgbClr val="FAC77D"/>
        </a:gs>
        <a:gs pos="61000">
          <a:srgbClr val="FBA97D"/>
        </a:gs>
        <a:gs pos="82001">
          <a:srgbClr val="FBD49C"/>
        </a:gs>
        <a:gs pos="100000">
          <a:srgbClr val="FEE7F2"/>
        </a:gs>
      </a:gsLst>
      <a:lin ang="0" scaled="1"/>
      <a:tileRect/>
    </a:gradFill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1AFAE-A429-4389-9071-EEE8A8A05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6</Pages>
  <Words>2760</Words>
  <Characters>15732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2023-10-31T05:18:00Z</cp:lastPrinted>
  <dcterms:created xsi:type="dcterms:W3CDTF">2017-11-16T13:29:00Z</dcterms:created>
  <dcterms:modified xsi:type="dcterms:W3CDTF">2023-11-13T05:46:00Z</dcterms:modified>
</cp:coreProperties>
</file>